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D99E" w14:textId="1A5689F8" w:rsidR="004D725C" w:rsidRPr="00A3541B" w:rsidRDefault="00161229" w:rsidP="00A3541B">
      <w:pPr>
        <w:spacing w:line="360" w:lineRule="auto"/>
        <w:sectPr w:rsidR="004D725C" w:rsidRPr="00A3541B" w:rsidSect="00AE0275">
          <w:headerReference w:type="default" r:id="rId8"/>
          <w:footerReference w:type="default" r:id="rId9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  <w:r w:rsidRPr="00A3541B">
        <w:rPr>
          <w:rFonts w:ascii="Arial" w:hAnsi="Arial" w:cs="Arial"/>
          <w:b/>
          <w:noProof/>
          <w:sz w:val="28"/>
          <w:szCs w:val="28"/>
          <w:lang w:eastAsia="es-C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2ED869" wp14:editId="52522CBD">
                <wp:simplePos x="0" y="0"/>
                <wp:positionH relativeFrom="column">
                  <wp:posOffset>-1043940</wp:posOffset>
                </wp:positionH>
                <wp:positionV relativeFrom="paragraph">
                  <wp:posOffset>3313430</wp:posOffset>
                </wp:positionV>
                <wp:extent cx="7094220" cy="539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7F492" w14:textId="6D75A86A" w:rsidR="00A3541B" w:rsidRPr="00FF47CE" w:rsidRDefault="00161229" w:rsidP="00A3541B">
                            <w:pPr>
                              <w:jc w:val="center"/>
                              <w:rPr>
                                <w:rFonts w:ascii="Avenir" w:hAnsi="Avenir"/>
                                <w:color w:val="003D6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61229">
                              <w:rPr>
                                <w:rFonts w:ascii="Avenir" w:hAnsi="Avenir"/>
                                <w:color w:val="003D61"/>
                                <w:sz w:val="44"/>
                                <w:szCs w:val="44"/>
                                <w:lang w:val="es-ES"/>
                              </w:rPr>
                              <w:t>Carbono neutralidad en organizaciones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ED8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82.2pt;margin-top:260.9pt;width:558.6pt;height:4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" filled="f" stroked="f" strokeweight=".5pt">
                <v:textbox>
                  <w:txbxContent>
                    <w:p w14:paraId="55D7F492" w14:textId="6D75A86A" w:rsidR="00A3541B" w:rsidRPr="00FF47CE" w:rsidRDefault="00161229" w:rsidP="00A3541B">
                      <w:pPr>
                        <w:jc w:val="center"/>
                        <w:rPr>
                          <w:rFonts w:ascii="Avenir" w:hAnsi="Avenir"/>
                          <w:color w:val="003D61"/>
                          <w:sz w:val="44"/>
                          <w:szCs w:val="44"/>
                          <w:lang w:val="es-ES"/>
                        </w:rPr>
                      </w:pPr>
                      <w:r w:rsidRPr="00161229">
                        <w:rPr>
                          <w:rFonts w:ascii="Avenir" w:hAnsi="Avenir"/>
                          <w:color w:val="003D61"/>
                          <w:sz w:val="44"/>
                          <w:szCs w:val="44"/>
                          <w:lang w:val="es-ES"/>
                        </w:rPr>
                        <w:t>Carbono neutralidad en organizaciones</w:t>
                      </w:r>
                    </w:p>
                  </w:txbxContent>
                </v:textbox>
              </v:shape>
            </w:pict>
          </mc:Fallback>
        </mc:AlternateContent>
      </w:r>
      <w:r w:rsidR="00A3541B" w:rsidRPr="00A3541B">
        <w:rPr>
          <w:rFonts w:ascii="Arial" w:hAnsi="Arial" w:cs="Arial"/>
          <w:b/>
          <w:noProof/>
          <w:sz w:val="28"/>
          <w:szCs w:val="28"/>
          <w:lang w:eastAsia="es-C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399FF4" wp14:editId="5D25EFAC">
                <wp:simplePos x="0" y="0"/>
                <wp:positionH relativeFrom="column">
                  <wp:posOffset>-830580</wp:posOffset>
                </wp:positionH>
                <wp:positionV relativeFrom="paragraph">
                  <wp:posOffset>2492375</wp:posOffset>
                </wp:positionV>
                <wp:extent cx="6550025" cy="82105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82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B0051" w14:textId="1FC4AAF8" w:rsidR="00A3541B" w:rsidRPr="00FF47CE" w:rsidRDefault="00A3541B" w:rsidP="00A3541B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003D6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FF47CE">
                              <w:rPr>
                                <w:rFonts w:ascii="Avenir Black" w:hAnsi="Avenir Black"/>
                                <w:b/>
                                <w:bCs/>
                                <w:color w:val="003D61"/>
                                <w:sz w:val="56"/>
                                <w:szCs w:val="56"/>
                                <w:lang w:val="es-ES"/>
                              </w:rPr>
                              <w:t xml:space="preserve">Guía para la persona </w:t>
                            </w:r>
                            <w:r w:rsidR="00F961B4">
                              <w:rPr>
                                <w:rFonts w:ascii="Avenir Black" w:hAnsi="Avenir Black"/>
                                <w:b/>
                                <w:bCs/>
                                <w:color w:val="003D61"/>
                                <w:sz w:val="56"/>
                                <w:szCs w:val="56"/>
                                <w:lang w:val="es-ES"/>
                              </w:rPr>
                              <w:t>estudi</w:t>
                            </w:r>
                            <w:r w:rsidRPr="00FF47CE">
                              <w:rPr>
                                <w:rFonts w:ascii="Avenir Black" w:hAnsi="Avenir Black"/>
                                <w:b/>
                                <w:bCs/>
                                <w:color w:val="003D61"/>
                                <w:sz w:val="56"/>
                                <w:szCs w:val="56"/>
                                <w:lang w:val="es-ES"/>
                              </w:rPr>
                              <w:t>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99FF4" id="Cuadro de texto 5" o:spid="_x0000_s1027" type="#_x0000_t202" style="position:absolute;margin-left:-65.4pt;margin-top:196.25pt;width:515.75pt;height:64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" filled="f" stroked="f" strokeweight=".5pt">
                <v:textbox>
                  <w:txbxContent>
                    <w:p w14:paraId="1BCB0051" w14:textId="1FC4AAF8" w:rsidR="00A3541B" w:rsidRPr="00FF47CE" w:rsidRDefault="00A3541B" w:rsidP="00A3541B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003D61"/>
                          <w:sz w:val="56"/>
                          <w:szCs w:val="56"/>
                          <w:lang w:val="es-ES"/>
                        </w:rPr>
                      </w:pPr>
                      <w:r w:rsidRPr="00FF47CE">
                        <w:rPr>
                          <w:rFonts w:ascii="Avenir Black" w:hAnsi="Avenir Black"/>
                          <w:b/>
                          <w:bCs/>
                          <w:color w:val="003D61"/>
                          <w:sz w:val="56"/>
                          <w:szCs w:val="56"/>
                          <w:lang w:val="es-ES"/>
                        </w:rPr>
                        <w:t xml:space="preserve">Guía para la persona </w:t>
                      </w:r>
                      <w:r w:rsidR="00F961B4">
                        <w:rPr>
                          <w:rFonts w:ascii="Avenir Black" w:hAnsi="Avenir Black"/>
                          <w:b/>
                          <w:bCs/>
                          <w:color w:val="003D61"/>
                          <w:sz w:val="56"/>
                          <w:szCs w:val="56"/>
                          <w:lang w:val="es-ES"/>
                        </w:rPr>
                        <w:t>estudi</w:t>
                      </w:r>
                      <w:r w:rsidRPr="00FF47CE">
                        <w:rPr>
                          <w:rFonts w:ascii="Avenir Black" w:hAnsi="Avenir Black"/>
                          <w:b/>
                          <w:bCs/>
                          <w:color w:val="003D61"/>
                          <w:sz w:val="56"/>
                          <w:szCs w:val="56"/>
                          <w:lang w:val="es-ES"/>
                        </w:rPr>
                        <w:t>ante</w:t>
                      </w:r>
                    </w:p>
                  </w:txbxContent>
                </v:textbox>
              </v:shape>
            </w:pict>
          </mc:Fallback>
        </mc:AlternateContent>
      </w:r>
      <w:r w:rsidR="00A3541B">
        <w:rPr>
          <w:noProof/>
          <w:lang w:eastAsia="es-CR"/>
        </w:rPr>
        <w:drawing>
          <wp:anchor distT="0" distB="0" distL="114300" distR="114300" simplePos="0" relativeHeight="251683840" behindDoc="1" locked="0" layoutInCell="1" allowOverlap="1" wp14:anchorId="62920865" wp14:editId="4FD8C9D7">
            <wp:simplePos x="0" y="0"/>
            <wp:positionH relativeFrom="page">
              <wp:posOffset>-20955</wp:posOffset>
            </wp:positionH>
            <wp:positionV relativeFrom="margin">
              <wp:posOffset>-1081405</wp:posOffset>
            </wp:positionV>
            <wp:extent cx="7793355" cy="100793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355" cy="1007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52622" w14:textId="383DA969" w:rsidR="00C86253" w:rsidRPr="00C86253" w:rsidRDefault="00C86253" w:rsidP="00A3541B">
      <w:pPr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lastRenderedPageBreak/>
        <w:t>PRESENTACIÓN</w:t>
      </w:r>
    </w:p>
    <w:p w14:paraId="3614D03A" w14:textId="77777777" w:rsidR="00F019E7" w:rsidRDefault="00F019E7" w:rsidP="00F961B4">
      <w:pPr>
        <w:spacing w:before="240"/>
        <w:jc w:val="both"/>
        <w:rPr>
          <w:lang w:val="es-ES_tradnl"/>
        </w:rPr>
      </w:pPr>
    </w:p>
    <w:p w14:paraId="57850DCC" w14:textId="77777777" w:rsidR="009852BD" w:rsidRDefault="009852BD" w:rsidP="00F961B4">
      <w:pPr>
        <w:spacing w:before="24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Estimada persona estudiante:</w:t>
      </w:r>
    </w:p>
    <w:p w14:paraId="266F24F3" w14:textId="77777777" w:rsidR="009852BD" w:rsidRDefault="009852BD" w:rsidP="00F961B4">
      <w:pPr>
        <w:spacing w:before="24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Este documento esperamos le sea de utilidad para guiarse dentro del aula virtual de este curso.</w:t>
      </w:r>
    </w:p>
    <w:p w14:paraId="10E94FF4" w14:textId="650D7F02" w:rsidR="009852BD" w:rsidRDefault="00F91EC4" w:rsidP="00F961B4">
      <w:pPr>
        <w:spacing w:before="24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Como verá en los siguientes apartados, este curso se divide en </w:t>
      </w:r>
      <w:r w:rsidR="00381E26">
        <w:rPr>
          <w:rFonts w:ascii="Arial" w:hAnsi="Arial" w:cs="Arial"/>
          <w:lang w:val="es-ES_tradnl"/>
        </w:rPr>
        <w:t>9</w:t>
      </w:r>
      <w:r>
        <w:rPr>
          <w:rFonts w:ascii="Arial" w:hAnsi="Arial" w:cs="Arial"/>
          <w:lang w:val="es-ES_tradnl"/>
        </w:rPr>
        <w:t xml:space="preserve"> semanas, y en cada semana </w:t>
      </w:r>
      <w:r w:rsidR="00F961B4">
        <w:rPr>
          <w:rFonts w:ascii="Arial" w:hAnsi="Arial" w:cs="Arial"/>
          <w:lang w:val="es-ES_tradnl"/>
        </w:rPr>
        <w:t xml:space="preserve">encontrará </w:t>
      </w:r>
      <w:r>
        <w:rPr>
          <w:rFonts w:ascii="Arial" w:hAnsi="Arial" w:cs="Arial"/>
          <w:lang w:val="es-ES_tradnl"/>
        </w:rPr>
        <w:t>diferentes saberes que usted estudiará por medio de recursos didácticos colocados en cada semana.</w:t>
      </w:r>
    </w:p>
    <w:p w14:paraId="61ACF6AA" w14:textId="4A5E501D" w:rsidR="00F91EC4" w:rsidRDefault="00F91EC4" w:rsidP="00F961B4">
      <w:pPr>
        <w:spacing w:before="24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Además, la persona docente de este curso podrá </w:t>
      </w:r>
      <w:r w:rsidR="00F961B4">
        <w:rPr>
          <w:rFonts w:ascii="Arial" w:hAnsi="Arial" w:cs="Arial"/>
          <w:lang w:val="es-ES_tradnl"/>
        </w:rPr>
        <w:t>incluir</w:t>
      </w:r>
      <w:r>
        <w:rPr>
          <w:rFonts w:ascii="Arial" w:hAnsi="Arial" w:cs="Arial"/>
          <w:lang w:val="es-ES_tradnl"/>
        </w:rPr>
        <w:t xml:space="preserve"> cada semana prácticas que defina para que usted verifique la comprensión de los temas estudiados, y, podría colocar actividades de comprobación de conocimientos, las cuales son obligatorias.</w:t>
      </w:r>
    </w:p>
    <w:p w14:paraId="437FCC59" w14:textId="08FF0033" w:rsidR="00712967" w:rsidRDefault="00712967" w:rsidP="00F961B4">
      <w:pPr>
        <w:spacing w:before="24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Este curso será calificado mediante la metodología “por competencias”. Eso significa que no tendrá calificación numérica (de 0 a 100)</w:t>
      </w:r>
      <w:r w:rsidR="00150B0D">
        <w:rPr>
          <w:rFonts w:ascii="Arial" w:hAnsi="Arial" w:cs="Arial"/>
          <w:lang w:val="es-ES_tradnl"/>
        </w:rPr>
        <w:t>, sino que, en cada actividad, la persona docente revisará la actividad de comprobación de acuerdo con una lista de criterios q</w:t>
      </w:r>
      <w:r w:rsidR="002F423E">
        <w:rPr>
          <w:rFonts w:ascii="Arial" w:hAnsi="Arial" w:cs="Arial"/>
          <w:lang w:val="es-ES_tradnl"/>
        </w:rPr>
        <w:t xml:space="preserve">ue usted conocerá al momento de hacer la actividad. </w:t>
      </w:r>
      <w:r w:rsidR="00F961B4">
        <w:rPr>
          <w:rFonts w:ascii="Arial" w:hAnsi="Arial" w:cs="Arial"/>
          <w:lang w:val="es-ES_tradnl"/>
        </w:rPr>
        <w:t>S</w:t>
      </w:r>
      <w:r w:rsidR="002F423E">
        <w:rPr>
          <w:rFonts w:ascii="Arial" w:hAnsi="Arial" w:cs="Arial"/>
          <w:lang w:val="es-ES_tradnl"/>
        </w:rPr>
        <w:t xml:space="preserve">i usted cumple cada uno de esos criterios, aprobará la actividad. </w:t>
      </w:r>
      <w:r w:rsidR="00740E31">
        <w:rPr>
          <w:rFonts w:ascii="Arial" w:hAnsi="Arial" w:cs="Arial"/>
          <w:lang w:val="es-ES_tradnl"/>
        </w:rPr>
        <w:t>Además,</w:t>
      </w:r>
      <w:r w:rsidR="002F423E">
        <w:rPr>
          <w:rFonts w:ascii="Arial" w:hAnsi="Arial" w:cs="Arial"/>
          <w:lang w:val="es-ES_tradnl"/>
        </w:rPr>
        <w:t xml:space="preserve"> la persona docente le hará una devolución de la tarea o actividad con su respectiva realimentación.</w:t>
      </w:r>
    </w:p>
    <w:p w14:paraId="18CF3E16" w14:textId="77777777" w:rsidR="00F91EC4" w:rsidRDefault="00F91EC4" w:rsidP="00F961B4">
      <w:pPr>
        <w:spacing w:before="24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persona docente definirá en cada actividad la fecha límite que usted tendrá para entregar o completar la actividad de comprobación. Recuerde que luego de la fecha y hora límite el Centro V</w:t>
      </w:r>
      <w:r w:rsidR="007C0A74">
        <w:rPr>
          <w:rFonts w:ascii="Arial" w:hAnsi="Arial" w:cs="Arial"/>
          <w:lang w:val="es-ES_tradnl"/>
        </w:rPr>
        <w:t>irtual deshabilitará la opción de entregas, por lo cual se le recomienda que revise al iniciar cada semana las fechas y plan</w:t>
      </w:r>
      <w:r w:rsidR="00740E31">
        <w:rPr>
          <w:rFonts w:ascii="Arial" w:hAnsi="Arial" w:cs="Arial"/>
          <w:lang w:val="es-ES_tradnl"/>
        </w:rPr>
        <w:t>ifique su tiempo de estudio para</w:t>
      </w:r>
      <w:r w:rsidR="007C0A74">
        <w:rPr>
          <w:rFonts w:ascii="Arial" w:hAnsi="Arial" w:cs="Arial"/>
          <w:lang w:val="es-ES_tradnl"/>
        </w:rPr>
        <w:t xml:space="preserve"> que pueda cumplir con los deberes de este curso.</w:t>
      </w:r>
    </w:p>
    <w:p w14:paraId="618D9DF8" w14:textId="26680F83" w:rsidR="00F961B4" w:rsidRDefault="00740E31" w:rsidP="00F961B4">
      <w:pPr>
        <w:spacing w:before="24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persona docente se comunicará con usted por los medios establecidos: correo electrónico estudiantil, mensajería interna del aula virtual, y los foros del bloque inicial del aula.</w:t>
      </w:r>
      <w:r w:rsidR="00F961B4">
        <w:rPr>
          <w:rFonts w:ascii="Arial" w:hAnsi="Arial" w:cs="Arial"/>
          <w:lang w:val="es-ES_tradnl"/>
        </w:rPr>
        <w:br w:type="page"/>
      </w:r>
    </w:p>
    <w:p w14:paraId="31F53257" w14:textId="32DBBCC1" w:rsidR="008777C1" w:rsidRDefault="00CD0602" w:rsidP="00CD0602">
      <w:pPr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 xml:space="preserve">INFORMACIÓN DEL </w:t>
      </w:r>
      <w:r w:rsidR="00740E31">
        <w:rPr>
          <w:rFonts w:ascii="Arial" w:hAnsi="Arial" w:cs="Arial"/>
          <w:b/>
          <w:sz w:val="28"/>
          <w:szCs w:val="28"/>
        </w:rPr>
        <w:t>CURSO</w:t>
      </w:r>
    </w:p>
    <w:p w14:paraId="26990940" w14:textId="77777777" w:rsidR="00740E31" w:rsidRDefault="00740E31" w:rsidP="00740E31">
      <w:pPr>
        <w:rPr>
          <w:rFonts w:ascii="Arial" w:hAnsi="Arial" w:cs="Arial"/>
          <w:lang w:val="es-ES_tradnl"/>
        </w:rPr>
      </w:pPr>
    </w:p>
    <w:p w14:paraId="5804A754" w14:textId="77777777" w:rsidR="00740E31" w:rsidRDefault="00740E31" w:rsidP="00740E31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este apartado encontrará información básica del curso:</w:t>
      </w:r>
    </w:p>
    <w:p w14:paraId="45941B81" w14:textId="77777777" w:rsidR="00740E31" w:rsidRPr="00CD0602" w:rsidRDefault="00740E31" w:rsidP="00740E3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2689"/>
        <w:gridCol w:w="6309"/>
      </w:tblGrid>
      <w:tr w:rsidR="00740E31" w:rsidRPr="004D725C" w14:paraId="3E0A7CC9" w14:textId="77777777" w:rsidTr="00DF52E5">
        <w:trPr>
          <w:trHeight w:val="270"/>
        </w:trPr>
        <w:tc>
          <w:tcPr>
            <w:tcW w:w="2689" w:type="dxa"/>
          </w:tcPr>
          <w:p w14:paraId="5DF00378" w14:textId="77777777" w:rsidR="00740E31" w:rsidRPr="004D725C" w:rsidRDefault="00740E31" w:rsidP="00740E31">
            <w:pPr>
              <w:rPr>
                <w:rFonts w:ascii="Arial" w:hAnsi="Arial" w:cs="Arial"/>
                <w:b/>
                <w:lang w:val="es-ES_tradnl"/>
              </w:rPr>
            </w:pPr>
            <w:r w:rsidRPr="004D725C">
              <w:rPr>
                <w:rFonts w:ascii="Arial" w:hAnsi="Arial" w:cs="Arial"/>
                <w:b/>
                <w:lang w:val="es-ES_tradnl"/>
              </w:rPr>
              <w:t>Nombre</w:t>
            </w:r>
          </w:p>
        </w:tc>
        <w:tc>
          <w:tcPr>
            <w:tcW w:w="6309" w:type="dxa"/>
          </w:tcPr>
          <w:p w14:paraId="5BC20A1A" w14:textId="5FC484BB" w:rsidR="00740E31" w:rsidRPr="004D725C" w:rsidRDefault="00161229" w:rsidP="00740E31">
            <w:pPr>
              <w:rPr>
                <w:rFonts w:ascii="Arial" w:hAnsi="Arial" w:cs="Arial"/>
                <w:lang w:val="es-ES_tradnl"/>
              </w:rPr>
            </w:pPr>
            <w:r w:rsidRPr="00161229">
              <w:rPr>
                <w:rFonts w:ascii="Arial" w:hAnsi="Arial" w:cs="Arial"/>
                <w:lang w:val="es-ES_tradnl"/>
              </w:rPr>
              <w:t>Carbono neutralidad en organizaciones</w:t>
            </w:r>
          </w:p>
        </w:tc>
      </w:tr>
      <w:tr w:rsidR="00740E31" w:rsidRPr="004D725C" w14:paraId="7DF42470" w14:textId="77777777" w:rsidTr="00DF52E5">
        <w:trPr>
          <w:trHeight w:val="282"/>
        </w:trPr>
        <w:tc>
          <w:tcPr>
            <w:tcW w:w="2689" w:type="dxa"/>
          </w:tcPr>
          <w:p w14:paraId="3361EFBB" w14:textId="77777777" w:rsidR="00740E31" w:rsidRPr="004D725C" w:rsidRDefault="00740E31" w:rsidP="00740E31">
            <w:pPr>
              <w:rPr>
                <w:rFonts w:ascii="Arial" w:hAnsi="Arial" w:cs="Arial"/>
                <w:b/>
                <w:lang w:val="es-ES_tradnl"/>
              </w:rPr>
            </w:pPr>
            <w:r w:rsidRPr="004D725C">
              <w:rPr>
                <w:rFonts w:ascii="Arial" w:hAnsi="Arial" w:cs="Arial"/>
                <w:b/>
                <w:lang w:val="es-ES_tradnl"/>
              </w:rPr>
              <w:t>Cantidad de horas</w:t>
            </w:r>
          </w:p>
        </w:tc>
        <w:tc>
          <w:tcPr>
            <w:tcW w:w="6309" w:type="dxa"/>
          </w:tcPr>
          <w:p w14:paraId="4F36A210" w14:textId="799D99AD" w:rsidR="00740E31" w:rsidRPr="004D725C" w:rsidRDefault="00161229" w:rsidP="00740E31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90</w:t>
            </w:r>
          </w:p>
        </w:tc>
      </w:tr>
      <w:tr w:rsidR="00740E31" w:rsidRPr="004D725C" w14:paraId="51CE9B8B" w14:textId="77777777" w:rsidTr="00DF52E5">
        <w:tc>
          <w:tcPr>
            <w:tcW w:w="2689" w:type="dxa"/>
          </w:tcPr>
          <w:p w14:paraId="1A26DAB8" w14:textId="77777777" w:rsidR="00740E31" w:rsidRPr="004D725C" w:rsidRDefault="00740E31" w:rsidP="00740E31">
            <w:pPr>
              <w:rPr>
                <w:rFonts w:ascii="Arial" w:hAnsi="Arial" w:cs="Arial"/>
                <w:b/>
                <w:lang w:val="es-ES_tradnl"/>
              </w:rPr>
            </w:pPr>
            <w:r w:rsidRPr="004D725C">
              <w:rPr>
                <w:rFonts w:ascii="Arial" w:hAnsi="Arial" w:cs="Arial"/>
                <w:b/>
                <w:lang w:val="es-ES_tradnl"/>
              </w:rPr>
              <w:t>Requerimientos tecnológicos</w:t>
            </w:r>
          </w:p>
        </w:tc>
        <w:tc>
          <w:tcPr>
            <w:tcW w:w="6309" w:type="dxa"/>
          </w:tcPr>
          <w:p w14:paraId="5FA18C66" w14:textId="77777777" w:rsidR="00E57560" w:rsidRPr="004D725C" w:rsidRDefault="00E57560" w:rsidP="00E57560">
            <w:pPr>
              <w:rPr>
                <w:rFonts w:ascii="Arial" w:hAnsi="Arial" w:cs="Arial"/>
                <w:color w:val="000000"/>
              </w:rPr>
            </w:pPr>
            <w:r w:rsidRPr="004D725C">
              <w:rPr>
                <w:rFonts w:ascii="Arial" w:hAnsi="Arial" w:cs="Arial"/>
                <w:color w:val="000000"/>
              </w:rPr>
              <w:t xml:space="preserve">Habilitar las ventanas emergentes o Pop Up en el navegador de internet que utilice, para que pueda ver los recursos didácticos de cada semana en una ventana aparte de la del aula virtual. </w:t>
            </w:r>
          </w:p>
          <w:p w14:paraId="539410CD" w14:textId="77777777" w:rsidR="00E57560" w:rsidRPr="004D725C" w:rsidRDefault="00E57560" w:rsidP="00E57560">
            <w:pPr>
              <w:rPr>
                <w:rFonts w:ascii="Arial" w:hAnsi="Arial" w:cs="Arial"/>
                <w:color w:val="000000"/>
              </w:rPr>
            </w:pPr>
          </w:p>
          <w:p w14:paraId="725569F4" w14:textId="77777777" w:rsidR="00740E31" w:rsidRPr="004D725C" w:rsidRDefault="00E57560" w:rsidP="00E57560">
            <w:pPr>
              <w:rPr>
                <w:rFonts w:ascii="Arial" w:hAnsi="Arial" w:cs="Arial"/>
                <w:color w:val="000000"/>
              </w:rPr>
            </w:pPr>
            <w:r w:rsidRPr="004D725C">
              <w:rPr>
                <w:rFonts w:ascii="Arial" w:hAnsi="Arial" w:cs="Arial"/>
                <w:color w:val="000000"/>
              </w:rPr>
              <w:t xml:space="preserve">Si se le presentan problemas con esto, revise el documento </w:t>
            </w:r>
            <w:r w:rsidRPr="004D725C">
              <w:rPr>
                <w:rFonts w:ascii="Arial" w:hAnsi="Arial" w:cs="Arial"/>
                <w:i/>
                <w:color w:val="000000"/>
              </w:rPr>
              <w:t>“6. Ventanas emergentes.pdf”</w:t>
            </w:r>
            <w:r w:rsidRPr="004D725C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4D725C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4D725C">
              <w:rPr>
                <w:rFonts w:ascii="Arial" w:hAnsi="Arial" w:cs="Arial"/>
                <w:color w:val="000000"/>
              </w:rPr>
              <w:t>, al inicio del aula virtual.</w:t>
            </w:r>
          </w:p>
        </w:tc>
      </w:tr>
      <w:tr w:rsidR="00740E31" w:rsidRPr="004D725C" w14:paraId="53FED41E" w14:textId="77777777" w:rsidTr="00DF52E5">
        <w:tc>
          <w:tcPr>
            <w:tcW w:w="2689" w:type="dxa"/>
          </w:tcPr>
          <w:p w14:paraId="7E31FE88" w14:textId="77777777" w:rsidR="00740E31" w:rsidRPr="004D725C" w:rsidRDefault="00740E31" w:rsidP="00740E31">
            <w:pPr>
              <w:rPr>
                <w:rFonts w:ascii="Arial" w:hAnsi="Arial" w:cs="Arial"/>
                <w:b/>
              </w:rPr>
            </w:pPr>
            <w:r w:rsidRPr="004D725C">
              <w:rPr>
                <w:rFonts w:ascii="Arial" w:hAnsi="Arial" w:cs="Arial"/>
                <w:b/>
              </w:rPr>
              <w:t>Software requerido</w:t>
            </w:r>
          </w:p>
        </w:tc>
        <w:tc>
          <w:tcPr>
            <w:tcW w:w="6309" w:type="dxa"/>
          </w:tcPr>
          <w:p w14:paraId="5EFE9BD8" w14:textId="77777777" w:rsidR="00E57560" w:rsidRPr="004D725C" w:rsidRDefault="00E57560" w:rsidP="004D725C">
            <w:pPr>
              <w:pStyle w:val="Prrafodelista"/>
              <w:numPr>
                <w:ilvl w:val="0"/>
                <w:numId w:val="43"/>
              </w:numPr>
              <w:ind w:left="457"/>
              <w:rPr>
                <w:rFonts w:ascii="Arial" w:hAnsi="Arial" w:cs="Arial"/>
                <w:color w:val="000000"/>
              </w:rPr>
            </w:pPr>
            <w:r w:rsidRPr="004D725C">
              <w:rPr>
                <w:rFonts w:ascii="Arial" w:hAnsi="Arial" w:cs="Arial"/>
                <w:lang w:val="es-ES_tradnl"/>
              </w:rPr>
              <w:t>P</w:t>
            </w:r>
            <w:r w:rsidRPr="004D725C">
              <w:rPr>
                <w:rFonts w:ascii="Arial" w:hAnsi="Arial" w:cs="Arial"/>
                <w:color w:val="000000"/>
              </w:rPr>
              <w:t>aquete de Office instalado en la computadora (procesador de texto, hoja de cálculo).</w:t>
            </w:r>
          </w:p>
          <w:p w14:paraId="68AD91CC" w14:textId="77777777" w:rsidR="00E57560" w:rsidRPr="004D725C" w:rsidRDefault="00E57560" w:rsidP="004D725C">
            <w:pPr>
              <w:ind w:left="457"/>
              <w:rPr>
                <w:rFonts w:ascii="Arial" w:hAnsi="Arial" w:cs="Arial"/>
                <w:color w:val="000000"/>
              </w:rPr>
            </w:pPr>
          </w:p>
          <w:p w14:paraId="65BF2143" w14:textId="19897B54" w:rsidR="00E57560" w:rsidRPr="004D725C" w:rsidRDefault="00E57560" w:rsidP="004D725C">
            <w:pPr>
              <w:pStyle w:val="Prrafodelista"/>
              <w:numPr>
                <w:ilvl w:val="0"/>
                <w:numId w:val="43"/>
              </w:numPr>
              <w:ind w:left="457"/>
              <w:rPr>
                <w:rFonts w:ascii="Arial" w:hAnsi="Arial" w:cs="Arial"/>
                <w:color w:val="000000"/>
              </w:rPr>
            </w:pPr>
            <w:r w:rsidRPr="004D725C">
              <w:rPr>
                <w:rFonts w:ascii="Arial" w:hAnsi="Arial" w:cs="Arial"/>
                <w:color w:val="000000"/>
              </w:rPr>
              <w:t>Acrobat Reader (lector de PDF</w:t>
            </w:r>
            <w:r w:rsidRPr="004D725C">
              <w:rPr>
                <w:rFonts w:ascii="Arial" w:hAnsi="Arial" w:cs="Arial"/>
                <w:color w:val="000000"/>
              </w:rPr>
              <w:softHyphen/>
            </w:r>
            <w:r w:rsidRPr="004D725C">
              <w:rPr>
                <w:rFonts w:ascii="Arial" w:hAnsi="Arial" w:cs="Arial"/>
                <w:color w:val="000000"/>
              </w:rPr>
              <w:softHyphen/>
              <w:t>)</w:t>
            </w:r>
          </w:p>
          <w:p w14:paraId="706C0597" w14:textId="77777777" w:rsidR="00E57560" w:rsidRPr="004D725C" w:rsidRDefault="00E57560" w:rsidP="004D725C">
            <w:pPr>
              <w:ind w:left="457"/>
              <w:rPr>
                <w:rFonts w:ascii="Arial" w:hAnsi="Arial" w:cs="Arial"/>
                <w:color w:val="000000"/>
              </w:rPr>
            </w:pPr>
          </w:p>
          <w:p w14:paraId="7B1F7487" w14:textId="51DA7395" w:rsidR="00E57560" w:rsidRPr="004D725C" w:rsidRDefault="00E57560" w:rsidP="004D725C">
            <w:pPr>
              <w:pStyle w:val="Prrafodelista"/>
              <w:numPr>
                <w:ilvl w:val="0"/>
                <w:numId w:val="43"/>
              </w:numPr>
              <w:ind w:left="457"/>
              <w:rPr>
                <w:rFonts w:ascii="Arial" w:hAnsi="Arial" w:cs="Arial"/>
                <w:color w:val="000000"/>
              </w:rPr>
            </w:pPr>
            <w:r w:rsidRPr="004D725C">
              <w:rPr>
                <w:rFonts w:ascii="Arial" w:hAnsi="Arial" w:cs="Arial"/>
                <w:color w:val="000000"/>
              </w:rPr>
              <w:t>Compresores de archivos como WinZIP o WinRAR. Para saber cómo utilizarlos (para comprimir archivos y poder enviarlos con menor peso), revise los documentos</w:t>
            </w:r>
            <w:r w:rsidR="004D725C">
              <w:rPr>
                <w:rFonts w:ascii="Arial" w:hAnsi="Arial" w:cs="Arial"/>
                <w:color w:val="000000"/>
              </w:rPr>
              <w:t>:</w:t>
            </w:r>
            <w:r w:rsidRPr="004D725C">
              <w:rPr>
                <w:rFonts w:ascii="Arial" w:hAnsi="Arial" w:cs="Arial"/>
              </w:rPr>
              <w:t xml:space="preserve"> </w:t>
            </w:r>
            <w:r w:rsidRPr="004D725C">
              <w:rPr>
                <w:rFonts w:ascii="Arial" w:hAnsi="Arial" w:cs="Arial"/>
                <w:i/>
                <w:color w:val="000000"/>
              </w:rPr>
              <w:t>3. Comprimir con el WINRAR.pdf</w:t>
            </w:r>
            <w:r w:rsidRPr="004D725C">
              <w:rPr>
                <w:rFonts w:ascii="Arial" w:hAnsi="Arial" w:cs="Arial"/>
                <w:color w:val="000000"/>
              </w:rPr>
              <w:t xml:space="preserve"> y </w:t>
            </w:r>
            <w:r w:rsidRPr="004D725C">
              <w:rPr>
                <w:rFonts w:ascii="Arial" w:hAnsi="Arial" w:cs="Arial"/>
                <w:i/>
                <w:color w:val="000000"/>
              </w:rPr>
              <w:t xml:space="preserve">4. Comprimir con el WINZIP.pdf </w:t>
            </w:r>
            <w:r w:rsidRPr="004D725C">
              <w:rPr>
                <w:rFonts w:ascii="Arial" w:hAnsi="Arial" w:cs="Arial"/>
                <w:color w:val="000000"/>
              </w:rPr>
              <w:t xml:space="preserve">que está en la carpeta </w:t>
            </w:r>
            <w:r w:rsidRPr="004D725C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4D725C">
              <w:rPr>
                <w:rFonts w:ascii="Arial" w:hAnsi="Arial" w:cs="Arial"/>
                <w:color w:val="000000"/>
              </w:rPr>
              <w:t>, al inicio del aula virtual.</w:t>
            </w:r>
          </w:p>
          <w:p w14:paraId="00C656DC" w14:textId="77777777" w:rsidR="00740E31" w:rsidRPr="000C5A86" w:rsidRDefault="00740E31" w:rsidP="00740E31">
            <w:pPr>
              <w:rPr>
                <w:rFonts w:ascii="Arial" w:hAnsi="Arial" w:cs="Arial"/>
              </w:rPr>
            </w:pPr>
          </w:p>
        </w:tc>
      </w:tr>
    </w:tbl>
    <w:p w14:paraId="721C6474" w14:textId="77777777" w:rsidR="00A70E88" w:rsidRDefault="00A70E88" w:rsidP="002A5002">
      <w:pPr>
        <w:rPr>
          <w:rFonts w:ascii="Arial" w:hAnsi="Arial" w:cs="Arial"/>
        </w:rPr>
      </w:pPr>
    </w:p>
    <w:p w14:paraId="4646AE7A" w14:textId="77777777" w:rsidR="002A5002" w:rsidRDefault="002A5002" w:rsidP="002A5002">
      <w:pPr>
        <w:rPr>
          <w:rFonts w:ascii="Arial" w:hAnsi="Arial" w:cs="Arial"/>
        </w:rPr>
      </w:pPr>
    </w:p>
    <w:p w14:paraId="20A04D5F" w14:textId="77777777" w:rsidR="008846CA" w:rsidRDefault="008846CA">
      <w:pPr>
        <w:rPr>
          <w:rFonts w:ascii="Arial" w:hAnsi="Arial" w:cs="Arial"/>
        </w:rPr>
        <w:sectPr w:rsidR="008846CA" w:rsidSect="001626AF">
          <w:footerReference w:type="default" r:id="rId11"/>
          <w:pgSz w:w="12240" w:h="15840" w:code="1"/>
          <w:pgMar w:top="1843" w:right="1080" w:bottom="1440" w:left="1080" w:header="709" w:footer="709" w:gutter="0"/>
          <w:cols w:space="708"/>
          <w:docGrid w:linePitch="360"/>
        </w:sectPr>
      </w:pPr>
    </w:p>
    <w:p w14:paraId="40C50131" w14:textId="77777777" w:rsidR="00D74D20" w:rsidRDefault="00B84BE3" w:rsidP="00B84BE3">
      <w:pPr>
        <w:jc w:val="center"/>
        <w:rPr>
          <w:rFonts w:ascii="Arial" w:hAnsi="Arial" w:cs="Arial"/>
        </w:rPr>
      </w:pPr>
      <w:r w:rsidRPr="002A5002">
        <w:rPr>
          <w:rFonts w:ascii="Arial" w:hAnsi="Arial" w:cs="Arial"/>
          <w:b/>
        </w:rPr>
        <w:t>PLANIFICACIÓN DEL APRENDIZAJE</w:t>
      </w:r>
    </w:p>
    <w:p w14:paraId="60CB79CF" w14:textId="77777777" w:rsidR="00740E31" w:rsidRDefault="00740E31" w:rsidP="00740E31">
      <w:pPr>
        <w:rPr>
          <w:rFonts w:ascii="Arial" w:hAnsi="Arial" w:cs="Arial"/>
          <w:lang w:val="es-ES_tradnl"/>
        </w:rPr>
      </w:pPr>
    </w:p>
    <w:p w14:paraId="790CDF33" w14:textId="77777777" w:rsidR="00740E31" w:rsidRDefault="00740E31" w:rsidP="000F58E1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Aquí usted podrá revisar el orden cronológico de los saberes que podrá estudiar en este curso cada semana, y las actividades de comprobación que deberá realizar, para que pueda planificar el tiempo dedicado a este curso y pueda cumplir en tiempo y forma con cada una </w:t>
      </w:r>
      <w:r w:rsidR="007D7A4E">
        <w:rPr>
          <w:rFonts w:ascii="Arial" w:hAnsi="Arial" w:cs="Arial"/>
          <w:lang w:val="es-ES_tradnl"/>
        </w:rPr>
        <w:t>de ellas.</w:t>
      </w:r>
    </w:p>
    <w:p w14:paraId="6DE40C82" w14:textId="77777777" w:rsidR="00740E31" w:rsidRDefault="00740E31" w:rsidP="000F58E1">
      <w:pPr>
        <w:jc w:val="both"/>
        <w:rPr>
          <w:rFonts w:ascii="Arial" w:hAnsi="Arial" w:cs="Arial"/>
        </w:rPr>
      </w:pPr>
    </w:p>
    <w:tbl>
      <w:tblPr>
        <w:tblStyle w:val="Sombreadoclaro-nfasis3"/>
        <w:tblW w:w="5000" w:type="pct"/>
        <w:tblLayout w:type="fixed"/>
        <w:tblLook w:val="04A0" w:firstRow="1" w:lastRow="0" w:firstColumn="1" w:lastColumn="0" w:noHBand="0" w:noVBand="1"/>
      </w:tblPr>
      <w:tblGrid>
        <w:gridCol w:w="1171"/>
        <w:gridCol w:w="1944"/>
        <w:gridCol w:w="2927"/>
        <w:gridCol w:w="2927"/>
      </w:tblGrid>
      <w:tr w:rsidR="00FD6722" w:rsidRPr="00FD6722" w14:paraId="5EDFB83F" w14:textId="77777777" w:rsidTr="29702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DF4" w14:textId="77777777" w:rsidR="00D74D20" w:rsidRPr="00FD6722" w:rsidRDefault="00D74D20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SEMANA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4AD" w14:textId="77777777" w:rsidR="00D74D20" w:rsidRPr="00FD6722" w:rsidRDefault="00740E31" w:rsidP="00FD6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CAPACIDADES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54A" w14:textId="30691048" w:rsidR="00D74D20" w:rsidRPr="00FD6722" w:rsidRDefault="00C94864" w:rsidP="00FD6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SABERES</w:t>
            </w:r>
            <w:r w:rsidR="00C545C6">
              <w:rPr>
                <w:rFonts w:ascii="Arial" w:hAnsi="Arial" w:cs="Arial"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5B3" w14:textId="77777777" w:rsidR="00D74D20" w:rsidRPr="00FD6722" w:rsidRDefault="00782BAD" w:rsidP="00FD6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 xml:space="preserve">ACTIVIDADES </w:t>
            </w:r>
          </w:p>
        </w:tc>
      </w:tr>
      <w:tr w:rsidR="00FD6722" w:rsidRPr="00FD6722" w14:paraId="1D06F57B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11D" w14:textId="36B1784A" w:rsidR="00A3541B" w:rsidRPr="00FD6722" w:rsidRDefault="00A3541B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A8C" w14:textId="516075EA" w:rsidR="00A3541B" w:rsidRPr="00FD6722" w:rsidRDefault="00A3541B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Generar un ambiente propicio hacia el aprendizaje y la interacción.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2B9" w14:textId="7C987356" w:rsidR="00A3541B" w:rsidRPr="00FD6722" w:rsidRDefault="00A3541B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Documentos introductorios al curso y foros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852" w14:textId="6653A2B7" w:rsidR="000F58E1" w:rsidRPr="00FD6722" w:rsidRDefault="000F58E1" w:rsidP="00C9486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Leer el contenido del apartado “</w:t>
            </w:r>
            <w:r w:rsidRPr="00FD672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Elementos básicos del curso</w:t>
            </w: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”: Bienvenida, Guía de estudiante</w:t>
            </w:r>
          </w:p>
          <w:p w14:paraId="7888CC77" w14:textId="13320B70" w:rsidR="00A3541B" w:rsidRPr="00FD6722" w:rsidRDefault="00A3541B" w:rsidP="00C9486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Participar en el Foro de presentación.</w:t>
            </w:r>
          </w:p>
          <w:p w14:paraId="3318F2EF" w14:textId="1FB0CC7D" w:rsidR="00A3541B" w:rsidRPr="00FD6722" w:rsidRDefault="00A3541B" w:rsidP="00C94864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Verificar que tenga acceso a los foros</w:t>
            </w:r>
          </w:p>
          <w:p w14:paraId="16FDADF3" w14:textId="5F2C7E7C" w:rsidR="00A3541B" w:rsidRPr="00FD6722" w:rsidRDefault="00A3541B" w:rsidP="00C948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Revisar los documentos de la carpeta Apoyo a la persona participante.</w:t>
            </w:r>
          </w:p>
        </w:tc>
      </w:tr>
      <w:tr w:rsidR="00FD6722" w:rsidRPr="00FD6722" w14:paraId="299ED08F" w14:textId="77777777" w:rsidTr="29702A5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758" w14:textId="77777777" w:rsidR="00D74D20" w:rsidRPr="00FD6722" w:rsidRDefault="00782BAD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0D5" w14:textId="77777777" w:rsidR="007C7A94" w:rsidRPr="00FD6722" w:rsidRDefault="007C7A94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Interpretar los requisitos legales y técnicos aplicables a la organización del Programa País para la Carbono Neutralidad 2.0 para la actualización de los inventarios de Gases de Efecto Invernadero</w:t>
            </w:r>
          </w:p>
          <w:p w14:paraId="2D4A9963" w14:textId="222EB255" w:rsidR="00782BAD" w:rsidRPr="00FD6722" w:rsidRDefault="00782BAD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200" w14:textId="77777777" w:rsidR="005D7477" w:rsidRPr="00FD6722" w:rsidRDefault="005D7477" w:rsidP="00FD672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Antecedentes nacionales de acción climática</w:t>
            </w:r>
          </w:p>
          <w:p w14:paraId="16A61560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Acción climática</w:t>
            </w:r>
          </w:p>
          <w:p w14:paraId="7C8EC296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Desafíos ambientales que enfrenta Costa Rica </w:t>
            </w:r>
          </w:p>
          <w:p w14:paraId="0BCBF5F9" w14:textId="77777777" w:rsidR="005D7477" w:rsidRPr="00FD6722" w:rsidRDefault="005D7477" w:rsidP="00C545C6">
            <w:pPr>
              <w:pStyle w:val="Prrafodelista"/>
              <w:numPr>
                <w:ilvl w:val="0"/>
                <w:numId w:val="46"/>
              </w:numPr>
              <w:spacing w:before="60" w:after="60"/>
              <w:ind w:left="7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Inventario Nacional de GEI y absorción por sumideros de GEI</w:t>
            </w:r>
          </w:p>
          <w:p w14:paraId="2AA80024" w14:textId="77777777" w:rsidR="005D7477" w:rsidRPr="00FD6722" w:rsidRDefault="005D7477" w:rsidP="00C545C6">
            <w:pPr>
              <w:pStyle w:val="Prrafodelista"/>
              <w:numPr>
                <w:ilvl w:val="0"/>
                <w:numId w:val="46"/>
              </w:numPr>
              <w:spacing w:before="60" w:after="60"/>
              <w:ind w:left="7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Plan Nacional de Descarbonización</w:t>
            </w:r>
          </w:p>
          <w:p w14:paraId="0A1A1EC7" w14:textId="77777777" w:rsidR="005D7477" w:rsidRPr="00FD6722" w:rsidRDefault="005D7477" w:rsidP="00C545C6">
            <w:pPr>
              <w:pStyle w:val="Prrafodelista"/>
              <w:numPr>
                <w:ilvl w:val="0"/>
                <w:numId w:val="46"/>
              </w:numPr>
              <w:spacing w:before="60" w:after="60"/>
              <w:ind w:left="7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Contribuciones nacionalmente determinadas (NDCs)</w:t>
            </w:r>
          </w:p>
          <w:p w14:paraId="271B6687" w14:textId="77777777" w:rsidR="005D7477" w:rsidRPr="00FD6722" w:rsidRDefault="005D7477" w:rsidP="00C545C6">
            <w:pPr>
              <w:pStyle w:val="Prrafodelista"/>
              <w:numPr>
                <w:ilvl w:val="0"/>
                <w:numId w:val="46"/>
              </w:numPr>
              <w:spacing w:before="60" w:after="60"/>
              <w:ind w:left="7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Creación y operación del Sistema Nacional de Métrica del cambio climático</w:t>
            </w:r>
          </w:p>
          <w:p w14:paraId="6138FF4A" w14:textId="77777777" w:rsidR="005D7477" w:rsidRPr="00FD6722" w:rsidRDefault="005D7477" w:rsidP="00FD672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Medidas de mitigación y adaptación</w:t>
            </w:r>
          </w:p>
          <w:p w14:paraId="62A6A734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Medidas de mitigación nacionalmente apropiadas </w:t>
            </w:r>
          </w:p>
          <w:p w14:paraId="5E26770C" w14:textId="4758F998" w:rsidR="64CE9D05" w:rsidRDefault="64CE9D05" w:rsidP="29702A5E">
            <w:pPr>
              <w:pStyle w:val="Prrafodelista"/>
              <w:numPr>
                <w:ilvl w:val="0"/>
                <w:numId w:val="46"/>
              </w:numPr>
              <w:spacing w:after="60"/>
              <w:ind w:left="7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MX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NAMA café </w:t>
            </w:r>
          </w:p>
          <w:p w14:paraId="748E8F1B" w14:textId="4DDF04FF" w:rsidR="64CE9D05" w:rsidRDefault="64CE9D05" w:rsidP="29702A5E">
            <w:pPr>
              <w:pStyle w:val="Prrafodelista"/>
              <w:numPr>
                <w:ilvl w:val="0"/>
                <w:numId w:val="46"/>
              </w:numPr>
              <w:spacing w:after="60"/>
              <w:ind w:left="7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MX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NAMA ganadería  </w:t>
            </w:r>
          </w:p>
          <w:p w14:paraId="674234BF" w14:textId="71D74E94" w:rsidR="64CE9D05" w:rsidRDefault="64CE9D05" w:rsidP="29702A5E">
            <w:pPr>
              <w:pStyle w:val="Prrafodelista"/>
              <w:numPr>
                <w:ilvl w:val="0"/>
                <w:numId w:val="46"/>
              </w:numPr>
              <w:spacing w:after="60"/>
              <w:ind w:left="74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MX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Otras NAMAS</w:t>
            </w:r>
          </w:p>
          <w:p w14:paraId="6EA886F2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Medidas de adaptación en la organización según recomendaciones internacionales </w:t>
            </w:r>
          </w:p>
          <w:p w14:paraId="47A3E86C" w14:textId="0A77AD7A" w:rsidR="1F033785" w:rsidRDefault="1F033785" w:rsidP="29702A5E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Euroclima</w:t>
            </w:r>
          </w:p>
          <w:p w14:paraId="61D03A88" w14:textId="1F191113" w:rsidR="00460629" w:rsidRPr="00C94864" w:rsidRDefault="005D7477" w:rsidP="00FD6722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Fondo verde para el clima y otras fuentes de financiamiento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D0A" w14:textId="59203DF7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Estudiar los saberes de la capacidad 1 por medio de los recursos didácticos colocados en el aula esta semana:</w:t>
            </w:r>
          </w:p>
          <w:p w14:paraId="10840703" w14:textId="77777777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4E41DE87" w14:textId="46CAC200" w:rsidR="00A3541B" w:rsidRPr="00FD6722" w:rsidRDefault="00161229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didáctico n.1: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Antecedentes nacionales de acción climática</w:t>
            </w:r>
          </w:p>
          <w:p w14:paraId="6B815290" w14:textId="5B4952F9" w:rsidR="00161229" w:rsidRPr="00FD6722" w:rsidRDefault="00161229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2701139E" w14:textId="254C55EB" w:rsidR="00161229" w:rsidRPr="00FD6722" w:rsidRDefault="00161229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didáctico n.2: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Medidas de mitigación y adaptación</w:t>
            </w:r>
          </w:p>
          <w:p w14:paraId="00D06780" w14:textId="77777777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68ACB56A" w14:textId="0AA9C408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Realizar las actividades de formación: </w:t>
            </w:r>
          </w:p>
          <w:p w14:paraId="1A9FF02D" w14:textId="77777777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4BE4F52E" w14:textId="461E76DA" w:rsidR="00592ED2" w:rsidRPr="00FD6722" w:rsidRDefault="00C648A0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formativa 1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. Wiki sobre antecedentes y medidas de mitigación y adaptación</w:t>
            </w:r>
          </w:p>
        </w:tc>
      </w:tr>
      <w:tr w:rsidR="00FD6722" w:rsidRPr="00FD6722" w14:paraId="476D81EF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889" w14:textId="77777777" w:rsidR="00D33C85" w:rsidRPr="00FD6722" w:rsidRDefault="00D33C85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DA8" w14:textId="77777777" w:rsidR="00161229" w:rsidRPr="00FD6722" w:rsidRDefault="00161229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Interpretar los requisitos legales y técnicos aplicables a la organización del Programa País para la Carbono Neutralidad 2.0 para la actualización de los inventarios de Gases de Efecto Invernadero</w:t>
            </w:r>
          </w:p>
          <w:p w14:paraId="2A86F0C3" w14:textId="73D63069" w:rsidR="00D33C85" w:rsidRPr="00FD6722" w:rsidRDefault="00D33C85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A5C" w14:textId="77777777" w:rsidR="005D7477" w:rsidRPr="00FD6722" w:rsidRDefault="005D7477" w:rsidP="00FD672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Programa País Carbono Neutralidad 2.0</w:t>
            </w:r>
          </w:p>
          <w:p w14:paraId="55E6ABAB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Principios, </w:t>
            </w:r>
          </w:p>
          <w:p w14:paraId="0D54AD92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Objetivos,  </w:t>
            </w:r>
          </w:p>
          <w:p w14:paraId="0493637A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Categorías (Objetivo, alcance y reconocimiento</w:t>
            </w:r>
          </w:p>
          <w:p w14:paraId="255C03F5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Decreto Ejecutivo N°42884</w:t>
            </w:r>
          </w:p>
          <w:p w14:paraId="5610902A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Requisitos para el uso del símbolo</w:t>
            </w:r>
          </w:p>
          <w:p w14:paraId="54778402" w14:textId="77777777" w:rsidR="005D7477" w:rsidRPr="00FD6722" w:rsidRDefault="005D7477" w:rsidP="00FD672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Normas aplicables a la Carbono neutralidad</w:t>
            </w:r>
          </w:p>
          <w:p w14:paraId="08101806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Familia ISO 14060 </w:t>
            </w:r>
          </w:p>
          <w:p w14:paraId="6C7642BE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INTE ISO 14064-1, 14064-2, 14064-3, 14065 y 14069</w:t>
            </w:r>
          </w:p>
          <w:p w14:paraId="0FEB6571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Norma INTE B5</w:t>
            </w:r>
          </w:p>
          <w:p w14:paraId="51E4F835" w14:textId="41197EC4" w:rsidR="00D33C85" w:rsidRPr="00FD6722" w:rsidRDefault="00D33C85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9A4" w14:textId="754B8FBD" w:rsidR="00A3541B" w:rsidRPr="00FD6722" w:rsidRDefault="00A3541B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Estudiar los saberes de la capacidad </w:t>
            </w:r>
            <w:r w:rsidR="00FA31B6"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1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por medio de los recursos didácticos colocados en el aula esta semana:</w:t>
            </w:r>
          </w:p>
          <w:p w14:paraId="7BAD55CB" w14:textId="77777777" w:rsidR="00A3541B" w:rsidRPr="00FD6722" w:rsidRDefault="00A3541B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24179FCE" w14:textId="43F2ECD0" w:rsidR="00A3541B" w:rsidRPr="00FD6722" w:rsidRDefault="00161229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didáctico n.3: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Programa País y Normas aplicables</w:t>
            </w:r>
          </w:p>
          <w:p w14:paraId="5973ADC5" w14:textId="45DE3FF9" w:rsidR="00161229" w:rsidRPr="00FD6722" w:rsidRDefault="00161229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7A491263" w14:textId="6917C6C4" w:rsidR="00161229" w:rsidRPr="00FD6722" w:rsidRDefault="00161229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didáctico n.4: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Emisiones indirectas y emisiones biogénicas: biomasa</w:t>
            </w:r>
          </w:p>
          <w:p w14:paraId="50313A26" w14:textId="77777777" w:rsidR="00161229" w:rsidRPr="00FD6722" w:rsidRDefault="00161229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395A69B1" w14:textId="77777777" w:rsidR="00A3541B" w:rsidRPr="00FD6722" w:rsidRDefault="00A3541B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Realizar las actividades de formación: </w:t>
            </w:r>
          </w:p>
          <w:p w14:paraId="3BA99BF1" w14:textId="77777777" w:rsidR="00A3541B" w:rsidRPr="00FD6722" w:rsidRDefault="00A3541B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581C0EB8" w14:textId="141A0FB7" w:rsidR="00D33C85" w:rsidRPr="00FD6722" w:rsidRDefault="00C648A0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formativa 2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. Recurso audiovisual sobre Programa País y normas aplicable</w:t>
            </w:r>
          </w:p>
        </w:tc>
      </w:tr>
      <w:tr w:rsidR="00FD6722" w:rsidRPr="00FD6722" w14:paraId="0584B7AF" w14:textId="77777777" w:rsidTr="29702A5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B78A" w14:textId="23A199F2" w:rsidR="004D725C" w:rsidRPr="00FD6722" w:rsidRDefault="004D725C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9BF" w14:textId="77777777" w:rsidR="00161229" w:rsidRPr="00FD6722" w:rsidRDefault="00161229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Interpretar los requisitos legales y técnicos aplicables a la organización del Programa País para la Carbono Neutralidad 2.0 para la actualización de los inventarios de Gases de Efecto Invernadero</w:t>
            </w:r>
          </w:p>
          <w:p w14:paraId="0DEFF32A" w14:textId="67133D19" w:rsidR="004D725C" w:rsidRPr="00FD6722" w:rsidRDefault="004D725C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0F3" w14:textId="77777777" w:rsidR="005D7477" w:rsidRPr="00FD6722" w:rsidRDefault="005D7477" w:rsidP="00FD672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Cálculo de los elementos del inventario de GEI</w:t>
            </w:r>
          </w:p>
          <w:p w14:paraId="2348C01B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Emisiones indirectas</w:t>
            </w:r>
          </w:p>
          <w:p w14:paraId="38FE9FE1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Emisiones biogénicas</w:t>
            </w:r>
          </w:p>
          <w:p w14:paraId="1B484CF0" w14:textId="77777777" w:rsidR="005D7477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Sumideros y remociones de carbono</w:t>
            </w:r>
          </w:p>
          <w:p w14:paraId="4F31F50D" w14:textId="77777777" w:rsidR="00546036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Cálculo de incertidumbres básico</w:t>
            </w:r>
          </w:p>
          <w:p w14:paraId="4950576B" w14:textId="6C1A7CC8" w:rsidR="00DF52E5" w:rsidRPr="00FD6722" w:rsidRDefault="005D7477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Aspectos para la actualización de inventarios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C33" w14:textId="28F6127E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Estudiar los saberes de la capacidad </w:t>
            </w:r>
            <w:r w:rsidR="00FA31B6"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1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por medio de los recursos didácticos colocado en el aula esta semana:</w:t>
            </w:r>
          </w:p>
          <w:p w14:paraId="1935EE15" w14:textId="77777777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262205B4" w14:textId="1FBB552F" w:rsidR="00161229" w:rsidRPr="00FD6722" w:rsidRDefault="00161229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2F6C2D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didáctico n5:</w:t>
            </w:r>
            <w:r w:rsidRPr="002F6C2D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Cálculos básicos de incertidumbres</w:t>
            </w:r>
          </w:p>
          <w:p w14:paraId="0303FB86" w14:textId="77777777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0092E960" w14:textId="136953B6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Realizar la actividad de formación:</w:t>
            </w:r>
          </w:p>
          <w:p w14:paraId="0F675ABA" w14:textId="77777777" w:rsidR="00A3541B" w:rsidRPr="00FD6722" w:rsidRDefault="00A3541B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05A35E92" w14:textId="719A0E8E" w:rsidR="004D725C" w:rsidRPr="00FD6722" w:rsidRDefault="00C648A0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formativa 3.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Avance de la actualización Inventario de GEI</w:t>
            </w:r>
          </w:p>
          <w:p w14:paraId="2A367073" w14:textId="63C705D4" w:rsidR="004D725C" w:rsidRPr="00FD6722" w:rsidRDefault="004D725C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</w:tc>
      </w:tr>
      <w:tr w:rsidR="00FD6722" w:rsidRPr="00FD6722" w14:paraId="28B60EE4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2DD" w14:textId="134FC1D9" w:rsidR="00546036" w:rsidRPr="00FD6722" w:rsidRDefault="00546036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DBE" w14:textId="3556BE5B" w:rsidR="00546036" w:rsidRPr="00FD6722" w:rsidRDefault="00546036" w:rsidP="00C54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Interpretar los requisitos legales y técnicos aplicables a la organización del Programa País para la Carbono Neutralidad 2.0 para la actualización de los inventarios de Gases de Efecto Invernadero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A21" w14:textId="77777777" w:rsidR="00546036" w:rsidRPr="00FD6722" w:rsidRDefault="00546036" w:rsidP="00FD672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Cálculo de los elementos del inventario de GEI</w:t>
            </w:r>
          </w:p>
          <w:p w14:paraId="0294358D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Emisiones indirectas</w:t>
            </w:r>
          </w:p>
          <w:p w14:paraId="0AD7025F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Emisiones biogénicas</w:t>
            </w:r>
          </w:p>
          <w:p w14:paraId="7582A711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Sumideros y remociones de carbono</w:t>
            </w:r>
          </w:p>
          <w:p w14:paraId="1364C008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Cálculo de incertidumbres básico</w:t>
            </w:r>
          </w:p>
          <w:p w14:paraId="7405BA78" w14:textId="51D27F26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Aspectos para la actualización de inventarios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13F" w14:textId="4FF4C755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Se continúa el estudio del </w:t>
            </w:r>
            <w:r w:rsidRPr="002F6C2D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Recurso </w:t>
            </w:r>
            <w:r w:rsidR="00E34763" w:rsidRPr="002F6C2D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n.</w:t>
            </w:r>
            <w:r w:rsidRPr="002F6C2D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5</w:t>
            </w:r>
            <w:r w:rsidRPr="002F6C2D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. Cálculos básicos de incertidumbres</w:t>
            </w:r>
          </w:p>
          <w:p w14:paraId="77928D7B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48404BC4" w14:textId="5330E90E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Realizar las actividades de formación:</w:t>
            </w:r>
          </w:p>
          <w:p w14:paraId="238896B5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50E5B77F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1ACF95E4" w14:textId="4AFA7F02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formativa 4.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Práctica de cálculo de incertidumbre</w:t>
            </w:r>
          </w:p>
        </w:tc>
      </w:tr>
      <w:tr w:rsidR="00FD6722" w:rsidRPr="00FD6722" w14:paraId="62B0B3D0" w14:textId="77777777" w:rsidTr="29702A5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67D" w14:textId="435371AE" w:rsidR="00546036" w:rsidRPr="00FD6722" w:rsidRDefault="00546036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89DC" w14:textId="77777777" w:rsidR="00546036" w:rsidRPr="00FD6722" w:rsidRDefault="00546036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Interpretar los requisitos legales y técnicos aplicables a la organización del Programa País para la Carbono Neutralidad 2.0 para la actualización de los inventarios de Gases de Efecto Invernadero</w:t>
            </w:r>
          </w:p>
          <w:p w14:paraId="2EBD36E5" w14:textId="085B4F9A" w:rsidR="00546036" w:rsidRPr="00FD6722" w:rsidRDefault="00546036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20D" w14:textId="77777777" w:rsidR="00546036" w:rsidRPr="00FD6722" w:rsidRDefault="00546036" w:rsidP="00FD672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Cálculo de los elementos del inventario de GEI</w:t>
            </w:r>
          </w:p>
          <w:p w14:paraId="21154A32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Emisiones indirectas</w:t>
            </w:r>
          </w:p>
          <w:p w14:paraId="48CC222D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Emisiones biogénicas</w:t>
            </w:r>
          </w:p>
          <w:p w14:paraId="5A47F329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Sumideros y remociones de carbono</w:t>
            </w:r>
          </w:p>
          <w:p w14:paraId="15484B6E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Cálculo de incertidumbres básico</w:t>
            </w:r>
          </w:p>
          <w:p w14:paraId="2BEFAC7C" w14:textId="11828525" w:rsidR="00546036" w:rsidRPr="00FD6722" w:rsidRDefault="00546036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Aspectos para la actualización de inventarios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A65" w14:textId="68EF2320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Estudiar los saberes de la capacidad </w:t>
            </w:r>
            <w:r w:rsidR="00FA31B6"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1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por medio de los recursos didácticos colocados en el aula esta semana:</w:t>
            </w:r>
          </w:p>
          <w:p w14:paraId="4F398D60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74C8F8D1" w14:textId="3DE57B06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2F6C2D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didáctico n.6:</w:t>
            </w:r>
            <w:r w:rsidRPr="002F6C2D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Emisiones biogénicas: uso del suelo</w:t>
            </w:r>
          </w:p>
          <w:p w14:paraId="27AD6774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0E68302E" w14:textId="167FF263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Realizar la actividad de comprobación:</w:t>
            </w:r>
          </w:p>
          <w:p w14:paraId="17421D4C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  <w:p w14:paraId="24B8DADA" w14:textId="5438848E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de comprobación 1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: Plan de acción para la gestión de emisiones según el inventario de gases de efecto invernadero.</w:t>
            </w:r>
          </w:p>
        </w:tc>
      </w:tr>
      <w:tr w:rsidR="00FD6722" w:rsidRPr="00FD6722" w14:paraId="0B103539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0FB2" w14:textId="6D19A433" w:rsidR="00546036" w:rsidRPr="00FD6722" w:rsidRDefault="00546036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A53" w14:textId="76CE0331" w:rsidR="00546036" w:rsidRPr="00FD6722" w:rsidRDefault="00546036" w:rsidP="00FD672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Aplicar los requisitos técnicos del programa país para la Carbono Neutralidad 2.0 y normas en la gestión de las emisiones de GEI en las categorías organizacional y de productos para la elaboración de estrategias de implementación.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6D5" w14:textId="77777777" w:rsidR="00546036" w:rsidRPr="00FD6722" w:rsidRDefault="00546036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Requisitos técnicos para la Categoría Organizacional.</w:t>
            </w:r>
          </w:p>
          <w:p w14:paraId="3AC598C2" w14:textId="77777777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Especificaciones del Programa </w:t>
            </w:r>
          </w:p>
          <w:p w14:paraId="14443A1E" w14:textId="49FFD653" w:rsidR="00546036" w:rsidRPr="00FD6722" w:rsidRDefault="0054603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Requisitos de verificación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D3B" w14:textId="61A4A5B4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Estudiar los saberes de la capacidad </w:t>
            </w:r>
            <w:r w:rsidR="00FA31B6"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2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por medio de los recursos didácticos colocados en el aula esta semana:</w:t>
            </w:r>
          </w:p>
          <w:p w14:paraId="7E30CDB7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2C6CC51C" w14:textId="0A41FC9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didáctico n.7: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Programa País de Carbono Neutralidad: Categoría Organizacional</w:t>
            </w:r>
          </w:p>
          <w:p w14:paraId="2083E2F5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4906A582" w14:textId="505A8798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Realizar la actividad formativa:</w:t>
            </w:r>
          </w:p>
          <w:p w14:paraId="5B3E27B1" w14:textId="77777777" w:rsidR="00546036" w:rsidRPr="00FD6722" w:rsidRDefault="00546036" w:rsidP="00FD67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18763D09" w14:textId="7C357D6F" w:rsidR="00FA31B6" w:rsidRPr="00FD6722" w:rsidRDefault="00546036" w:rsidP="00C00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formativa 5.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Mapa mental sobre la categoría organizacional del programa país Carbono Neutralidad</w:t>
            </w:r>
          </w:p>
        </w:tc>
      </w:tr>
      <w:tr w:rsidR="00FD6722" w:rsidRPr="00FD6722" w14:paraId="2CA6C7F3" w14:textId="77777777" w:rsidTr="29702A5E">
        <w:trPr>
          <w:cantSplit/>
          <w:trHeight w:val="4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A3B" w14:textId="15518DC5" w:rsidR="00546036" w:rsidRPr="00FD6722" w:rsidRDefault="00546036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D9E" w14:textId="21413B31" w:rsidR="00546036" w:rsidRPr="00FD6722" w:rsidRDefault="00546036" w:rsidP="00C54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Aplicar los requisitos técnicos del programa país para la Carbono Neutralidad 2.0 y normas en la gestión de las emisiones de GEI en las categorías organizacional y de productos para la elaboración de estrategias de implementación</w:t>
            </w:r>
            <w:r w:rsidR="00C545C6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041" w14:textId="77777777" w:rsidR="00546036" w:rsidRPr="00FD6722" w:rsidRDefault="00546036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Requisitos técnicos para la Categoría Productos</w:t>
            </w:r>
          </w:p>
          <w:p w14:paraId="3334DD2C" w14:textId="1C2FC0DD" w:rsidR="00546036" w:rsidRPr="00C545C6" w:rsidRDefault="58F46B09" w:rsidP="29702A5E">
            <w:pPr>
              <w:pStyle w:val="Prrafodelista"/>
              <w:numPr>
                <w:ilvl w:val="0"/>
                <w:numId w:val="45"/>
              </w:numPr>
              <w:spacing w:before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GT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>Aspectos generales</w:t>
            </w:r>
          </w:p>
          <w:p w14:paraId="775F4766" w14:textId="7A5442D9" w:rsidR="00546036" w:rsidRPr="00C545C6" w:rsidRDefault="58F46B09" w:rsidP="29702A5E">
            <w:pPr>
              <w:pStyle w:val="Prrafodelista"/>
              <w:numPr>
                <w:ilvl w:val="0"/>
                <w:numId w:val="45"/>
              </w:numPr>
              <w:spacing w:before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GT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>Norma de referencia ISO 14067</w:t>
            </w:r>
          </w:p>
          <w:p w14:paraId="000656BB" w14:textId="03275A8B" w:rsidR="00546036" w:rsidRPr="00C545C6" w:rsidRDefault="58F46B09" w:rsidP="29702A5E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GT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>Estudio de Huella de Carbono de Producto (HCP)</w:t>
            </w:r>
          </w:p>
          <w:p w14:paraId="211883F1" w14:textId="6BC3C072" w:rsidR="00546036" w:rsidRPr="00C545C6" w:rsidRDefault="58F46B09" w:rsidP="29702A5E">
            <w:pPr>
              <w:pStyle w:val="Prrafodelista"/>
              <w:numPr>
                <w:ilvl w:val="0"/>
                <w:numId w:val="45"/>
              </w:numPr>
              <w:spacing w:before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GT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>Programa Nacional de Etiquetado Ambiental y Energético</w:t>
            </w:r>
          </w:p>
          <w:p w14:paraId="3EAAE942" w14:textId="5D8BBF02" w:rsidR="00546036" w:rsidRPr="00C545C6" w:rsidRDefault="58F46B09" w:rsidP="29702A5E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GT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>Etiquetado Ambiental tipo I y III</w:t>
            </w:r>
          </w:p>
          <w:p w14:paraId="603533D7" w14:textId="0647F584" w:rsidR="00546036" w:rsidRPr="00C545C6" w:rsidRDefault="58F46B09" w:rsidP="29702A5E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GT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>Reglas de categoría de producto</w:t>
            </w:r>
          </w:p>
          <w:p w14:paraId="6970ECA6" w14:textId="16434F54" w:rsidR="00546036" w:rsidRPr="00C545C6" w:rsidRDefault="58F46B09" w:rsidP="29702A5E">
            <w:pPr>
              <w:pStyle w:val="Prrafodelista"/>
              <w:numPr>
                <w:ilvl w:val="0"/>
                <w:numId w:val="45"/>
              </w:numPr>
              <w:spacing w:before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GT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>Principios del Análisis de ciclo de vida</w:t>
            </w:r>
          </w:p>
          <w:p w14:paraId="454DB1A9" w14:textId="77777777" w:rsidR="006D0FEB" w:rsidRPr="006D0FEB" w:rsidRDefault="58F46B09" w:rsidP="29702A5E">
            <w:pPr>
              <w:pStyle w:val="Prrafodelista"/>
              <w:numPr>
                <w:ilvl w:val="0"/>
                <w:numId w:val="45"/>
              </w:numPr>
              <w:spacing w:before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MX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GT"/>
              </w:rPr>
              <w:t xml:space="preserve">Sistema de reconocimiento del PPCN Categoría de Productos  </w:t>
            </w:r>
          </w:p>
          <w:p w14:paraId="2A082442" w14:textId="46444D13" w:rsidR="00546036" w:rsidRPr="00C545C6" w:rsidRDefault="58F46B09" w:rsidP="29702A5E">
            <w:pPr>
              <w:pStyle w:val="Prrafodelista"/>
              <w:numPr>
                <w:ilvl w:val="0"/>
                <w:numId w:val="45"/>
              </w:numPr>
              <w:spacing w:before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MX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Verificación.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AD2" w14:textId="60E1E1ED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Estudiar los saberes de la capacidad </w:t>
            </w:r>
            <w:r w:rsidR="00FA31B6" w:rsidRPr="00FD6722">
              <w:rPr>
                <w:rFonts w:ascii="Arial" w:hAnsi="Arial" w:cs="Arial"/>
                <w:bCs/>
                <w:color w:val="auto"/>
                <w:sz w:val="22"/>
                <w:szCs w:val="22"/>
              </w:rPr>
              <w:t>2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por medio de los recursos didácticos colocados en el aula esta semana:</w:t>
            </w:r>
          </w:p>
          <w:p w14:paraId="322827EA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411271A" w14:textId="6EA5227E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</w:rPr>
              <w:t>Recurso didáctica n.8: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Programa País de Carbono Neutralidad Categoría Producto</w:t>
            </w:r>
          </w:p>
          <w:p w14:paraId="38AB6B9B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34BF732" w14:textId="1BF7810B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</w:rPr>
              <w:t>Realizar la actividad formativa:</w:t>
            </w:r>
          </w:p>
          <w:p w14:paraId="011E56EC" w14:textId="03F939A2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563B1C0" w14:textId="71E79F2B" w:rsidR="00546036" w:rsidRPr="00FD6722" w:rsidRDefault="00546036" w:rsidP="00C54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formativa 6.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Estudio de caso de introducción al ciclo de vida de un producto</w:t>
            </w:r>
          </w:p>
        </w:tc>
      </w:tr>
      <w:tr w:rsidR="00FD6722" w:rsidRPr="00FD6722" w14:paraId="1FDED88C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FF22" w14:textId="43262CEE" w:rsidR="00546036" w:rsidRPr="00FD6722" w:rsidRDefault="00546036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43C" w14:textId="77777777" w:rsidR="00546036" w:rsidRPr="00FD6722" w:rsidRDefault="00546036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Aplicar los requisitos técnicos del programa país para la Carbono Neutralidad 2.0 y normas en la gestión de las emisiones de GEI en las categorías organizacional y de productos para la elaboración de estrategias de implementación.</w:t>
            </w:r>
          </w:p>
          <w:p w14:paraId="394FA513" w14:textId="77777777" w:rsidR="00546036" w:rsidRPr="00FD6722" w:rsidRDefault="00546036" w:rsidP="00FD6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96F" w14:textId="77777777" w:rsidR="00FA31B6" w:rsidRPr="00FD6722" w:rsidRDefault="00FA31B6" w:rsidP="00FD672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 xml:space="preserve">Estrategias de implementación de la carbono neutralidad </w:t>
            </w:r>
          </w:p>
          <w:p w14:paraId="2EA59570" w14:textId="12E78A0E" w:rsidR="00FA31B6" w:rsidRPr="00FD6722" w:rsidRDefault="00FA31B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Estrategias ambientales </w:t>
            </w:r>
          </w:p>
          <w:p w14:paraId="2162BE35" w14:textId="62D94091" w:rsidR="00FA31B6" w:rsidRPr="00FD6722" w:rsidRDefault="00FA31B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Lineamientos del PPCN 2.0 </w:t>
            </w:r>
          </w:p>
          <w:p w14:paraId="6427CCE5" w14:textId="5AB7CF66" w:rsidR="00FA31B6" w:rsidRPr="00FD6722" w:rsidRDefault="00FA31B6" w:rsidP="00C545C6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Planes de acción climática </w:t>
            </w:r>
          </w:p>
          <w:p w14:paraId="65EC5EA1" w14:textId="42C44473" w:rsidR="00FA31B6" w:rsidRPr="00FD6722" w:rsidRDefault="00FA31B6" w:rsidP="00C545C6">
            <w:pPr>
              <w:pStyle w:val="Prrafodelista"/>
              <w:numPr>
                <w:ilvl w:val="0"/>
                <w:numId w:val="46"/>
              </w:numPr>
              <w:spacing w:before="60" w:after="60"/>
              <w:ind w:left="74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Metas de reducción de emisiones </w:t>
            </w:r>
          </w:p>
          <w:p w14:paraId="37F746D7" w14:textId="20B071FE" w:rsidR="00FA31B6" w:rsidRPr="00FD6722" w:rsidRDefault="00FA31B6" w:rsidP="00C545C6">
            <w:pPr>
              <w:pStyle w:val="Prrafodelista"/>
              <w:numPr>
                <w:ilvl w:val="0"/>
                <w:numId w:val="46"/>
              </w:numPr>
              <w:spacing w:before="60" w:after="60"/>
              <w:ind w:left="74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Metas de aumento de remociones </w:t>
            </w:r>
          </w:p>
          <w:p w14:paraId="3F7CAF0E" w14:textId="77777777" w:rsidR="00546036" w:rsidRPr="00FD6722" w:rsidRDefault="00546036" w:rsidP="00FD672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E9A" w14:textId="2E21F28F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Estudiar los saberes de la capacidad </w:t>
            </w:r>
            <w:r w:rsidR="00FA31B6"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2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por medio de los recursos didácticos colocados en el aula esta semana:</w:t>
            </w:r>
          </w:p>
          <w:p w14:paraId="2D9546F7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431994D6" w14:textId="6533048D" w:rsidR="00546036" w:rsidRPr="00FD6722" w:rsidRDefault="00546036" w:rsidP="00FD6722">
            <w:pPr>
              <w:pStyle w:val="Ttulo4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 w:val="0"/>
                <w:iCs w:val="0"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eastAsia="Times New Roman" w:hAnsi="Arial" w:cs="Arial"/>
                <w:b/>
                <w:i w:val="0"/>
                <w:iCs w:val="0"/>
                <w:color w:val="auto"/>
                <w:sz w:val="22"/>
                <w:szCs w:val="22"/>
                <w:lang w:val="es-ES_tradnl"/>
              </w:rPr>
              <w:t>Recurso didáctico n.9:</w:t>
            </w:r>
            <w:r w:rsidRPr="00FD6722">
              <w:rPr>
                <w:rFonts w:ascii="Arial" w:eastAsia="Times New Roman" w:hAnsi="Arial" w:cs="Arial"/>
                <w:bCs/>
                <w:i w:val="0"/>
                <w:iCs w:val="0"/>
                <w:color w:val="auto"/>
                <w:sz w:val="22"/>
                <w:szCs w:val="22"/>
                <w:lang w:val="es-ES_tradnl"/>
              </w:rPr>
              <w:t xml:space="preserve"> Estrategias de implementación de la carbono neutralidad en organizaciones y productos</w:t>
            </w:r>
          </w:p>
          <w:p w14:paraId="18148E23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07468CA1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Realizar la actividad de comprobación: </w:t>
            </w:r>
          </w:p>
          <w:p w14:paraId="679D9719" w14:textId="2F22E2B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686043FF" w14:textId="13D25C9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de comprobación n2: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Estrategia para la Implementación de la Carbono Neutralidad</w:t>
            </w:r>
          </w:p>
          <w:p w14:paraId="2D548E2B" w14:textId="77777777" w:rsidR="00546036" w:rsidRPr="00FD6722" w:rsidRDefault="00546036" w:rsidP="00FD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</w:tc>
      </w:tr>
      <w:tr w:rsidR="00FD6722" w:rsidRPr="00FD6722" w14:paraId="51DD1B4C" w14:textId="77777777" w:rsidTr="29702A5E">
        <w:trPr>
          <w:cantSplit/>
          <w:trHeight w:val="4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AD5" w14:textId="2A6D0DE0" w:rsidR="00546036" w:rsidRPr="00FD6722" w:rsidRDefault="00546036" w:rsidP="00FD67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26A" w14:textId="77777777" w:rsidR="00546036" w:rsidRPr="00FD6722" w:rsidRDefault="00546036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Aplicar los requisitos técnicos del programa país para la Carbono Neutralidad 2.0 y normas en la gestión de las emisiones de GEI en las categorías organizacional y de productos para la elaboración de estrategias de implementación.</w:t>
            </w:r>
          </w:p>
          <w:p w14:paraId="002EE7EE" w14:textId="77777777" w:rsidR="00546036" w:rsidRPr="00FD6722" w:rsidRDefault="00546036" w:rsidP="00FD6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71E" w14:textId="77777777" w:rsidR="000303FC" w:rsidRPr="00FD6722" w:rsidRDefault="000303FC" w:rsidP="000303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6722">
              <w:rPr>
                <w:rFonts w:ascii="Arial" w:hAnsi="Arial" w:cs="Arial"/>
                <w:color w:val="auto"/>
                <w:sz w:val="22"/>
                <w:szCs w:val="22"/>
              </w:rPr>
              <w:t>Programa País Carbono Neutralidad 2.0</w:t>
            </w:r>
          </w:p>
          <w:p w14:paraId="5431E0FF" w14:textId="79CF6A03" w:rsidR="000303FC" w:rsidRPr="000303FC" w:rsidRDefault="000303FC" w:rsidP="000303FC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Otras categorías (objetivo, alcance y reconocimiento</w:t>
            </w:r>
          </w:p>
          <w:p w14:paraId="467F3370" w14:textId="7A40ECD0" w:rsidR="000303FC" w:rsidRPr="000303FC" w:rsidRDefault="000303FC" w:rsidP="000303FC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 xml:space="preserve">Principios </w:t>
            </w:r>
          </w:p>
          <w:p w14:paraId="2284542E" w14:textId="7BC21085" w:rsidR="00546036" w:rsidRPr="000303FC" w:rsidRDefault="000303FC" w:rsidP="29702A5E">
            <w:pPr>
              <w:pStyle w:val="Prrafodelista"/>
              <w:numPr>
                <w:ilvl w:val="0"/>
                <w:numId w:val="45"/>
              </w:numPr>
              <w:spacing w:before="60" w:after="60"/>
              <w:ind w:left="31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29702A5E">
              <w:rPr>
                <w:rFonts w:ascii="Arial" w:hAnsi="Arial" w:cs="Arial"/>
                <w:color w:val="auto"/>
                <w:sz w:val="22"/>
                <w:szCs w:val="22"/>
              </w:rPr>
              <w:t>Objetivos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103" w14:textId="358A649D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Estudiar los saberes de la capacidad </w:t>
            </w:r>
            <w:r w:rsidR="00FA31B6"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>2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por medio de los recursos didácticos colocados en el aula esta semana:</w:t>
            </w:r>
          </w:p>
          <w:p w14:paraId="14773627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0F071B9C" w14:textId="045F5C4F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C94864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Recurso n.10: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Programa País Carbono Neutralidad para centros educativos, eventos y comunidades</w:t>
            </w:r>
          </w:p>
          <w:p w14:paraId="5964F859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075F4798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Realizar la actividad formativa: </w:t>
            </w:r>
          </w:p>
          <w:p w14:paraId="55E1E984" w14:textId="77777777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14:paraId="499E1D76" w14:textId="56C84CC9" w:rsidR="00546036" w:rsidRPr="00FD6722" w:rsidRDefault="00546036" w:rsidP="00FD6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C94864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Actividad formativa 7.</w:t>
            </w:r>
            <w:r w:rsidRPr="00FD6722">
              <w:rPr>
                <w:rFonts w:ascii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Cuestionario sobre categorías del programa para centros educativos, eventos y comunidades</w:t>
            </w:r>
          </w:p>
        </w:tc>
      </w:tr>
    </w:tbl>
    <w:p w14:paraId="69C10024" w14:textId="77777777" w:rsidR="00B84BE3" w:rsidRDefault="008846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2F5672" w14:textId="77777777" w:rsidR="006D4367" w:rsidRDefault="00B84BE3" w:rsidP="00F21137">
      <w:pPr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t>LINEAMIENTOS DE EVALUACIÓN</w:t>
      </w:r>
    </w:p>
    <w:p w14:paraId="2F142670" w14:textId="77777777" w:rsidR="00122044" w:rsidRDefault="00122044" w:rsidP="00F211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decuadrcula4-nfasis3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5388"/>
        <w:gridCol w:w="1197"/>
        <w:gridCol w:w="1193"/>
        <w:gridCol w:w="1191"/>
      </w:tblGrid>
      <w:tr w:rsidR="007D7A4E" w14:paraId="078C6DDD" w14:textId="77777777" w:rsidTr="29702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  <w:gridSpan w:val="4"/>
          </w:tcPr>
          <w:p w14:paraId="7C3FDFAF" w14:textId="044860DA" w:rsidR="007C75FD" w:rsidRPr="007C75FD" w:rsidRDefault="007D7A4E" w:rsidP="007C75FD">
            <w:pPr>
              <w:tabs>
                <w:tab w:val="left" w:pos="5430"/>
              </w:tabs>
              <w:jc w:val="center"/>
              <w:rPr>
                <w:rFonts w:ascii="Arial" w:hAnsi="Arial" w:cs="Arial"/>
                <w:b w:val="0"/>
                <w:bCs w:val="0"/>
              </w:rPr>
            </w:pPr>
            <w:r w:rsidRPr="29702A5E">
              <w:rPr>
                <w:rFonts w:ascii="Arial" w:hAnsi="Arial" w:cs="Arial"/>
                <w:b w:val="0"/>
                <w:bCs w:val="0"/>
              </w:rPr>
              <w:t>Actividades de comprobación del curso</w:t>
            </w:r>
            <w:r w:rsidR="5D30DA7E" w:rsidRPr="29702A5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21318B7A" w:rsidRPr="29702A5E">
              <w:rPr>
                <w:rFonts w:ascii="Arial" w:hAnsi="Arial" w:cs="Arial"/>
                <w:b w:val="0"/>
                <w:bCs w:val="0"/>
              </w:rPr>
              <w:t>Carbono Neutralidad en organizaciones</w:t>
            </w:r>
          </w:p>
          <w:p w14:paraId="3313540E" w14:textId="5296BF90" w:rsidR="007D7A4E" w:rsidRPr="00410DA3" w:rsidRDefault="007D7A4E" w:rsidP="007D7A4E">
            <w:pPr>
              <w:tabs>
                <w:tab w:val="left" w:pos="5430"/>
              </w:tabs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7D7A4E" w14:paraId="4B19CDB2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  <w:vMerge w:val="restart"/>
          </w:tcPr>
          <w:p w14:paraId="315F636B" w14:textId="77777777" w:rsidR="007D7A4E" w:rsidRPr="00410DA3" w:rsidRDefault="007D7A4E" w:rsidP="007D7A4E">
            <w:pPr>
              <w:tabs>
                <w:tab w:val="left" w:pos="5430"/>
              </w:tabs>
              <w:jc w:val="center"/>
              <w:rPr>
                <w:rFonts w:ascii="Arial" w:hAnsi="Arial" w:cs="Arial"/>
                <w:b w:val="0"/>
              </w:rPr>
            </w:pPr>
            <w:r w:rsidRPr="00410DA3">
              <w:rPr>
                <w:rFonts w:ascii="Arial" w:hAnsi="Arial" w:cs="Arial"/>
                <w:b w:val="0"/>
              </w:rPr>
              <w:t>Nombre de la actividad de comprobación</w:t>
            </w:r>
          </w:p>
        </w:tc>
        <w:tc>
          <w:tcPr>
            <w:tcW w:w="3581" w:type="dxa"/>
            <w:gridSpan w:val="3"/>
          </w:tcPr>
          <w:p w14:paraId="3375D930" w14:textId="77777777" w:rsidR="007D7A4E" w:rsidRPr="00410DA3" w:rsidRDefault="007D7A4E" w:rsidP="007D7A4E">
            <w:pPr>
              <w:tabs>
                <w:tab w:val="left" w:pos="54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10DA3">
              <w:rPr>
                <w:rFonts w:ascii="Arial" w:hAnsi="Arial" w:cs="Arial"/>
                <w:b/>
              </w:rPr>
              <w:t>Tipo de evaluación</w:t>
            </w:r>
          </w:p>
        </w:tc>
      </w:tr>
      <w:tr w:rsidR="007D7A4E" w14:paraId="3935E9F1" w14:textId="77777777" w:rsidTr="29702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  <w:vMerge/>
          </w:tcPr>
          <w:p w14:paraId="37F4F58A" w14:textId="77777777" w:rsidR="007D7A4E" w:rsidRDefault="007D7A4E" w:rsidP="007D7A4E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4B7C7ABC" w14:textId="77777777" w:rsidR="007D7A4E" w:rsidRPr="00410DA3" w:rsidRDefault="007D7A4E" w:rsidP="007D7A4E">
            <w:pPr>
              <w:tabs>
                <w:tab w:val="left" w:pos="54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10DA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193" w:type="dxa"/>
          </w:tcPr>
          <w:p w14:paraId="017D62B4" w14:textId="77777777" w:rsidR="007D7A4E" w:rsidRPr="00410DA3" w:rsidRDefault="007D7A4E" w:rsidP="007D7A4E">
            <w:pPr>
              <w:tabs>
                <w:tab w:val="left" w:pos="54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10DA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191" w:type="dxa"/>
          </w:tcPr>
          <w:p w14:paraId="42405627" w14:textId="77777777" w:rsidR="007D7A4E" w:rsidRPr="00410DA3" w:rsidRDefault="007D7A4E" w:rsidP="007D7A4E">
            <w:pPr>
              <w:tabs>
                <w:tab w:val="left" w:pos="54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10DA3">
              <w:rPr>
                <w:rFonts w:ascii="Arial" w:hAnsi="Arial" w:cs="Arial"/>
                <w:b/>
              </w:rPr>
              <w:t>C</w:t>
            </w:r>
          </w:p>
        </w:tc>
      </w:tr>
      <w:tr w:rsidR="007D7A4E" w14:paraId="52DE9C6E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</w:tcPr>
          <w:p w14:paraId="645C8456" w14:textId="77777777" w:rsidR="0071210C" w:rsidRDefault="0071210C" w:rsidP="007D7A4E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5E52647C" w14:textId="59A246A6" w:rsidR="0071210C" w:rsidRPr="00F30CBF" w:rsidRDefault="007C75FD" w:rsidP="007D7A4E">
            <w:pPr>
              <w:tabs>
                <w:tab w:val="left" w:pos="5430"/>
              </w:tabs>
              <w:rPr>
                <w:rFonts w:ascii="Arial" w:hAnsi="Arial" w:cs="Arial"/>
                <w:b w:val="0"/>
              </w:rPr>
            </w:pPr>
            <w:r w:rsidRPr="00331181">
              <w:rPr>
                <w:rFonts w:ascii="Arial" w:hAnsi="Arial" w:cs="Arial"/>
                <w:sz w:val="22"/>
                <w:szCs w:val="22"/>
              </w:rPr>
              <w:t xml:space="preserve">Actualización del inventario de Gases de Efecto Invernadero. </w:t>
            </w:r>
          </w:p>
        </w:tc>
        <w:tc>
          <w:tcPr>
            <w:tcW w:w="1197" w:type="dxa"/>
          </w:tcPr>
          <w:p w14:paraId="19E5D878" w14:textId="77777777" w:rsidR="007D7A4E" w:rsidRDefault="007D7A4E" w:rsidP="007D7A4E">
            <w:pPr>
              <w:tabs>
                <w:tab w:val="left" w:pos="5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21AE2AE5" w14:textId="77777777" w:rsidR="007D7A4E" w:rsidRDefault="0071210C" w:rsidP="0071210C">
            <w:pPr>
              <w:tabs>
                <w:tab w:val="left" w:pos="54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91" w:type="dxa"/>
          </w:tcPr>
          <w:p w14:paraId="31B0489E" w14:textId="597A63CF" w:rsidR="007D7A4E" w:rsidRDefault="007D7A4E" w:rsidP="0071210C">
            <w:pPr>
              <w:tabs>
                <w:tab w:val="left" w:pos="54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D7477" w14:paraId="60200953" w14:textId="77777777" w:rsidTr="29702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</w:tcPr>
          <w:p w14:paraId="1C8CB22F" w14:textId="04E16797" w:rsidR="005D7477" w:rsidRDefault="007C75FD" w:rsidP="007D7A4E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331181">
              <w:rPr>
                <w:rFonts w:ascii="Arial" w:hAnsi="Arial" w:cs="Arial"/>
                <w:sz w:val="22"/>
                <w:szCs w:val="22"/>
              </w:rPr>
              <w:t>Estrategia para la implementación de la Carbono Neutralidad.</w:t>
            </w:r>
          </w:p>
        </w:tc>
        <w:tc>
          <w:tcPr>
            <w:tcW w:w="1197" w:type="dxa"/>
          </w:tcPr>
          <w:p w14:paraId="5C9C8432" w14:textId="77777777" w:rsidR="005D7477" w:rsidRDefault="005D7477" w:rsidP="007D7A4E">
            <w:pPr>
              <w:tabs>
                <w:tab w:val="left" w:pos="54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7B886B2C" w14:textId="4621CD5F" w:rsidR="005D7477" w:rsidRDefault="007C75FD" w:rsidP="0071210C">
            <w:pPr>
              <w:tabs>
                <w:tab w:val="left" w:pos="54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91" w:type="dxa"/>
          </w:tcPr>
          <w:p w14:paraId="3B845E3C" w14:textId="77777777" w:rsidR="005D7477" w:rsidRDefault="005D7477" w:rsidP="0071210C">
            <w:pPr>
              <w:tabs>
                <w:tab w:val="left" w:pos="54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7A4E" w14:paraId="7CE2ACE5" w14:textId="77777777" w:rsidTr="2970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  <w:gridSpan w:val="4"/>
          </w:tcPr>
          <w:p w14:paraId="4124094B" w14:textId="77777777" w:rsidR="0071210C" w:rsidRDefault="0071210C" w:rsidP="007D7A4E">
            <w:pPr>
              <w:tabs>
                <w:tab w:val="left" w:pos="5430"/>
              </w:tabs>
              <w:jc w:val="center"/>
              <w:rPr>
                <w:rFonts w:ascii="Arial" w:hAnsi="Arial" w:cs="Arial"/>
                <w:b w:val="0"/>
                <w:i/>
              </w:rPr>
            </w:pPr>
          </w:p>
          <w:p w14:paraId="1E855A37" w14:textId="77777777" w:rsidR="007D7A4E" w:rsidRPr="00F30CBF" w:rsidRDefault="007D7A4E" w:rsidP="007D7A4E">
            <w:pPr>
              <w:tabs>
                <w:tab w:val="left" w:pos="5430"/>
              </w:tabs>
              <w:jc w:val="center"/>
              <w:rPr>
                <w:rFonts w:ascii="Arial" w:hAnsi="Arial" w:cs="Arial"/>
                <w:b w:val="0"/>
                <w:i/>
              </w:rPr>
            </w:pPr>
            <w:r w:rsidRPr="00F30CBF">
              <w:rPr>
                <w:rFonts w:ascii="Arial" w:hAnsi="Arial" w:cs="Arial"/>
                <w:b w:val="0"/>
                <w:i/>
              </w:rPr>
              <w:t xml:space="preserve">Descripción de siglas: </w:t>
            </w:r>
            <w:r w:rsidRPr="00F30CBF">
              <w:rPr>
                <w:rFonts w:ascii="Arial" w:hAnsi="Arial" w:cs="Arial"/>
              </w:rPr>
              <w:t>D:</w:t>
            </w:r>
            <w:r w:rsidRPr="00F30CBF">
              <w:rPr>
                <w:rFonts w:ascii="Arial" w:hAnsi="Arial" w:cs="Arial"/>
                <w:b w:val="0"/>
                <w:i/>
              </w:rPr>
              <w:t xml:space="preserve"> Desempeño </w:t>
            </w:r>
            <w:r w:rsidRPr="00F30CBF">
              <w:rPr>
                <w:rFonts w:ascii="Arial" w:hAnsi="Arial" w:cs="Arial"/>
              </w:rPr>
              <w:t>P:</w:t>
            </w:r>
            <w:r w:rsidRPr="00F30CBF">
              <w:rPr>
                <w:rFonts w:ascii="Arial" w:hAnsi="Arial" w:cs="Arial"/>
                <w:b w:val="0"/>
                <w:i/>
              </w:rPr>
              <w:t xml:space="preserve"> Producto </w:t>
            </w:r>
            <w:r w:rsidRPr="00F30CBF">
              <w:rPr>
                <w:rFonts w:ascii="Arial" w:hAnsi="Arial" w:cs="Arial"/>
              </w:rPr>
              <w:t>C:</w:t>
            </w:r>
            <w:r w:rsidRPr="00F30CBF">
              <w:rPr>
                <w:rFonts w:ascii="Arial" w:hAnsi="Arial" w:cs="Arial"/>
                <w:b w:val="0"/>
                <w:i/>
              </w:rPr>
              <w:t xml:space="preserve"> Conocimiento</w:t>
            </w:r>
          </w:p>
        </w:tc>
      </w:tr>
    </w:tbl>
    <w:p w14:paraId="1F0FC0E2" w14:textId="77777777" w:rsidR="00122044" w:rsidRDefault="00122044" w:rsidP="00F21137">
      <w:pPr>
        <w:jc w:val="center"/>
        <w:rPr>
          <w:rFonts w:ascii="Arial" w:hAnsi="Arial" w:cs="Arial"/>
          <w:b/>
          <w:sz w:val="28"/>
          <w:szCs w:val="28"/>
        </w:rPr>
      </w:pPr>
    </w:p>
    <w:p w14:paraId="77B2D90A" w14:textId="77777777" w:rsidR="00E34175" w:rsidRDefault="00E34175" w:rsidP="00B84BE3">
      <w:pPr>
        <w:rPr>
          <w:rFonts w:ascii="Arial" w:hAnsi="Arial" w:cs="Arial"/>
          <w:b/>
        </w:rPr>
      </w:pPr>
    </w:p>
    <w:p w14:paraId="3A190281" w14:textId="77777777" w:rsidR="00E34175" w:rsidRDefault="00E34175" w:rsidP="00B84BE3">
      <w:pPr>
        <w:rPr>
          <w:rFonts w:ascii="Arial" w:hAnsi="Arial" w:cs="Arial"/>
          <w:b/>
        </w:rPr>
      </w:pPr>
    </w:p>
    <w:p w14:paraId="7B934743" w14:textId="2DF33F3C" w:rsidR="00E34175" w:rsidRDefault="00E34175" w:rsidP="00B84B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Recuerde que</w:t>
      </w:r>
      <w:r w:rsidR="000E420F">
        <w:rPr>
          <w:rFonts w:ascii="Arial" w:hAnsi="Arial" w:cs="Arial"/>
          <w:b/>
        </w:rPr>
        <w:t xml:space="preserve"> según el reglamento de evaluación vigente</w:t>
      </w:r>
      <w:r w:rsidR="00004F7D">
        <w:rPr>
          <w:rFonts w:ascii="Arial" w:hAnsi="Arial" w:cs="Arial"/>
          <w:b/>
        </w:rPr>
        <w:t xml:space="preserve"> (p</w:t>
      </w:r>
      <w:bookmarkStart w:id="0" w:name="_GoBack"/>
      <w:bookmarkEnd w:id="0"/>
      <w:r w:rsidR="00004F7D">
        <w:rPr>
          <w:rFonts w:ascii="Arial" w:hAnsi="Arial" w:cs="Arial"/>
          <w:b/>
        </w:rPr>
        <w:t xml:space="preserve">ublicado en </w:t>
      </w:r>
      <w:r w:rsidR="00004F7D" w:rsidRPr="00004F7D">
        <w:rPr>
          <w:rFonts w:ascii="Arial" w:hAnsi="Arial" w:cs="Arial"/>
          <w:b/>
        </w:rPr>
        <w:t>La Gaceta, Alcance N240 a la Gaceta N 227</w:t>
      </w:r>
      <w:r w:rsidR="00004F7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14:paraId="73FA1CDE" w14:textId="77777777" w:rsidR="00E34175" w:rsidRDefault="00E34175" w:rsidP="00B84BE3">
      <w:pPr>
        <w:rPr>
          <w:rFonts w:ascii="Arial" w:hAnsi="Arial" w:cs="Arial"/>
          <w:b/>
        </w:rPr>
      </w:pPr>
    </w:p>
    <w:p w14:paraId="0DF22A03" w14:textId="2E3FBA71" w:rsidR="000E420F" w:rsidRDefault="000E420F" w:rsidP="00B84BE3">
      <w:pPr>
        <w:rPr>
          <w:rFonts w:ascii="Arial" w:hAnsi="Arial" w:cs="Arial"/>
        </w:rPr>
      </w:pPr>
      <w:r w:rsidRPr="000E420F">
        <w:rPr>
          <w:rFonts w:ascii="Arial" w:hAnsi="Arial" w:cs="Arial"/>
        </w:rPr>
        <w:t>Artículo13.</w:t>
      </w:r>
      <w:r w:rsidR="00004F7D">
        <w:rPr>
          <w:rFonts w:ascii="Arial" w:hAnsi="Arial" w:cs="Arial"/>
        </w:rPr>
        <w:t xml:space="preserve"> </w:t>
      </w:r>
      <w:r w:rsidRPr="000E420F">
        <w:rPr>
          <w:rFonts w:ascii="Arial" w:hAnsi="Arial" w:cs="Arial"/>
        </w:rPr>
        <w:t>De los resultados de las actividades de comprobación y pruebas de certificación</w:t>
      </w:r>
      <w:r>
        <w:rPr>
          <w:rFonts w:ascii="Arial" w:hAnsi="Arial" w:cs="Arial"/>
        </w:rPr>
        <w:t xml:space="preserve">. </w:t>
      </w:r>
    </w:p>
    <w:p w14:paraId="05F9C8D1" w14:textId="77777777" w:rsidR="000E420F" w:rsidRDefault="000E420F" w:rsidP="00B84BE3">
      <w:pPr>
        <w:rPr>
          <w:rFonts w:ascii="Arial" w:hAnsi="Arial" w:cs="Arial"/>
        </w:rPr>
      </w:pPr>
    </w:p>
    <w:p w14:paraId="3A6762F6" w14:textId="56F812E5" w:rsidR="00EB5F3D" w:rsidRPr="000E420F" w:rsidRDefault="000E420F" w:rsidP="00B84BE3">
      <w:pPr>
        <w:rPr>
          <w:rFonts w:ascii="Arial" w:hAnsi="Arial" w:cs="Arial"/>
        </w:rPr>
      </w:pPr>
      <w:r w:rsidRPr="000E420F">
        <w:rPr>
          <w:rFonts w:ascii="Arial" w:hAnsi="Arial" w:cs="Arial"/>
        </w:rPr>
        <w:t xml:space="preserve">El instrumento de la actividad de comprobación indicará si se es conforme o no conforme. En caso de que la actividad de comprobación resulte </w:t>
      </w:r>
      <w:r w:rsidRPr="000E420F">
        <w:rPr>
          <w:rFonts w:ascii="Arial" w:hAnsi="Arial" w:cs="Arial"/>
          <w:b/>
        </w:rPr>
        <w:t>no conforme</w:t>
      </w:r>
      <w:r w:rsidRPr="000E420F">
        <w:rPr>
          <w:rFonts w:ascii="Arial" w:hAnsi="Arial" w:cs="Arial"/>
        </w:rPr>
        <w:t xml:space="preserve">, y esta sea requisito de la siguiente, la persona estudiante </w:t>
      </w:r>
      <w:r w:rsidRPr="000E420F">
        <w:rPr>
          <w:rFonts w:ascii="Arial" w:hAnsi="Arial" w:cs="Arial"/>
          <w:b/>
        </w:rPr>
        <w:t>no podrá continuar en el módulo o curso</w:t>
      </w:r>
      <w:r w:rsidRPr="000E42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E420F">
        <w:rPr>
          <w:rFonts w:ascii="Arial" w:hAnsi="Arial" w:cs="Arial"/>
        </w:rPr>
        <w:t xml:space="preserve">En el caso de las pruebas de certificación la persona candidata a la CPC recibirá un comprobante que le indica su condición final de competente o pendiente de cumplimiento. </w:t>
      </w:r>
      <w:r w:rsidR="00B84BE3" w:rsidRPr="000E420F">
        <w:rPr>
          <w:rFonts w:ascii="Arial" w:hAnsi="Arial" w:cs="Arial"/>
        </w:rPr>
        <w:br w:type="page"/>
      </w:r>
    </w:p>
    <w:p w14:paraId="2B4C4E6F" w14:textId="77777777" w:rsidR="00B84BE3" w:rsidRPr="00B84BE3" w:rsidRDefault="00B84BE3" w:rsidP="00B84BE3">
      <w:pPr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t>BIBLIOGRAFÍA/WEBGRAFÍA</w:t>
      </w:r>
    </w:p>
    <w:p w14:paraId="2969D4B6" w14:textId="77777777" w:rsidR="00122044" w:rsidRDefault="00122044" w:rsidP="00787F4D">
      <w:pPr>
        <w:tabs>
          <w:tab w:val="left" w:pos="1545"/>
        </w:tabs>
        <w:rPr>
          <w:rFonts w:ascii="Arial" w:hAnsi="Arial" w:cs="Arial"/>
        </w:rPr>
      </w:pPr>
    </w:p>
    <w:p w14:paraId="27A09953" w14:textId="77777777" w:rsidR="00E05705" w:rsidRPr="00C94864" w:rsidRDefault="00E05705" w:rsidP="00C94864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C94864">
        <w:rPr>
          <w:rFonts w:ascii="Arial" w:hAnsi="Arial" w:cs="Arial"/>
          <w:sz w:val="22"/>
          <w:szCs w:val="22"/>
        </w:rPr>
        <w:t xml:space="preserve">Alfaro, R. (2018). </w:t>
      </w:r>
      <w:r w:rsidRPr="00C94864">
        <w:rPr>
          <w:rFonts w:ascii="Arial" w:hAnsi="Arial" w:cs="Arial"/>
          <w:i/>
          <w:iCs/>
          <w:sz w:val="22"/>
          <w:szCs w:val="22"/>
        </w:rPr>
        <w:t xml:space="preserve">Medidas ambientales para el cambio climático </w:t>
      </w:r>
      <w:r w:rsidRPr="00C94864">
        <w:rPr>
          <w:rFonts w:ascii="Arial" w:hAnsi="Arial" w:cs="Arial"/>
          <w:sz w:val="22"/>
          <w:szCs w:val="22"/>
        </w:rPr>
        <w:t>[Archivo PDF]. Instituto Nacional de Aprendizaje.</w:t>
      </w:r>
    </w:p>
    <w:p w14:paraId="5726BD92" w14:textId="77777777" w:rsidR="00E05705" w:rsidRPr="00C94864" w:rsidRDefault="00E05705" w:rsidP="00C94864">
      <w:pPr>
        <w:widowControl w:val="0"/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94864">
        <w:rPr>
          <w:rFonts w:ascii="Arial" w:hAnsi="Arial" w:cs="Arial"/>
          <w:sz w:val="22"/>
          <w:szCs w:val="22"/>
        </w:rPr>
        <w:t xml:space="preserve">Dirección de Cambio Climático. (2019). Guía para la participación en el Programa País de Carbono Neutralidad. </w:t>
      </w:r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Recuperado de: </w:t>
      </w:r>
      <w:r w:rsidRPr="00C94864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C94864">
          <w:rPr>
            <w:rFonts w:ascii="Arial" w:hAnsi="Arial" w:cs="Arial"/>
            <w:sz w:val="22"/>
            <w:szCs w:val="22"/>
          </w:rPr>
          <w:t>https://cambioclimatico.go.cr/wp-content/uploads/2019/07/Guia-Carbono-Neutralidad-DCC-Parte-1.pdf</w:t>
        </w:r>
      </w:hyperlink>
      <w:r w:rsidRPr="00C94864">
        <w:rPr>
          <w:rFonts w:ascii="Arial" w:hAnsi="Arial" w:cs="Arial"/>
          <w:sz w:val="22"/>
          <w:szCs w:val="22"/>
        </w:rPr>
        <w:t xml:space="preserve"> </w:t>
      </w:r>
    </w:p>
    <w:p w14:paraId="044381A1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Dirección de Cambio Climático. (2020). PPCN - Así funciona la categoría Productos del PPCN. Recuperado de: </w:t>
      </w:r>
      <w:hyperlink r:id="rId13" w:history="1">
        <w:r w:rsidRPr="00C94864">
          <w:rPr>
            <w:rStyle w:val="Hipervnculo"/>
            <w:rFonts w:ascii="Arial" w:eastAsia="Arial" w:hAnsi="Arial" w:cs="Arial"/>
            <w:sz w:val="22"/>
            <w:szCs w:val="22"/>
            <w:lang w:val="es-ES" w:bidi="es-ES"/>
          </w:rPr>
          <w:t>https://www.youtube.com/watch?v=_U7GV7zKblU</w:t>
        </w:r>
      </w:hyperlink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 </w:t>
      </w:r>
    </w:p>
    <w:p w14:paraId="2CD0AD12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</w:p>
    <w:p w14:paraId="5C8C4C20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Dirección de Cambio Climático. (2021). PPCN - Conozca el Programa País Carbono Neutralidad 2.0. Recuperado de: </w:t>
      </w:r>
      <w:hyperlink r:id="rId14" w:history="1">
        <w:r w:rsidRPr="00C94864">
          <w:rPr>
            <w:rStyle w:val="Hipervnculo"/>
            <w:rFonts w:ascii="Arial" w:eastAsia="Arial" w:hAnsi="Arial" w:cs="Arial"/>
            <w:sz w:val="22"/>
            <w:szCs w:val="22"/>
            <w:lang w:val="es-ES" w:bidi="es-ES"/>
          </w:rPr>
          <w:t>https://www.youtube.com/watch?v=OqDSRH0H7NE&amp;t=27s</w:t>
        </w:r>
      </w:hyperlink>
    </w:p>
    <w:p w14:paraId="0D51577F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</w:p>
    <w:p w14:paraId="04965DE2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Dirección de Cambio Climático. (2021). Programa país 2.0 Carbono Neutralidad, Organizacional. Recuperado de: </w:t>
      </w:r>
      <w:hyperlink r:id="rId15" w:history="1">
        <w:r w:rsidRPr="00C94864">
          <w:rPr>
            <w:rStyle w:val="Hipervnculo"/>
            <w:rFonts w:ascii="Arial" w:eastAsia="Arial" w:hAnsi="Arial" w:cs="Arial"/>
            <w:sz w:val="22"/>
            <w:szCs w:val="22"/>
            <w:lang w:val="es-ES" w:bidi="es-ES"/>
          </w:rPr>
          <w:t>https://cambioclimatico.go.cr/wp-content/uploads/2021/06/PPCN-2.0-Organizacional-2021-vf.pdf?x28229</w:t>
        </w:r>
      </w:hyperlink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 </w:t>
      </w:r>
    </w:p>
    <w:p w14:paraId="179C6A2A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</w:p>
    <w:p w14:paraId="66A19689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Dirección de Cambio Climático. (sin fecha). Programa país 2.0 Carbono Neutralidad, Categoría Productos. Recuperado de </w:t>
      </w:r>
      <w:hyperlink r:id="rId16" w:history="1">
        <w:r w:rsidRPr="00C94864">
          <w:rPr>
            <w:rStyle w:val="Hipervnculo"/>
            <w:rFonts w:ascii="Arial" w:eastAsia="Arial" w:hAnsi="Arial" w:cs="Arial"/>
            <w:sz w:val="22"/>
            <w:szCs w:val="22"/>
            <w:lang w:val="es-ES" w:bidi="es-ES"/>
          </w:rPr>
          <w:t>https://cambioclimatico.go.cr/wp-content/uploads/2021/07/PPCN-Productos.pdf?x28229</w:t>
        </w:r>
      </w:hyperlink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 </w:t>
      </w:r>
    </w:p>
    <w:p w14:paraId="6018F855" w14:textId="77777777" w:rsidR="00E05705" w:rsidRPr="00C94864" w:rsidRDefault="00E05705" w:rsidP="00C94864">
      <w:pPr>
        <w:spacing w:before="60" w:after="60"/>
        <w:jc w:val="both"/>
        <w:rPr>
          <w:rFonts w:ascii="Arial" w:eastAsia="Arial" w:hAnsi="Arial" w:cs="Arial"/>
          <w:sz w:val="22"/>
          <w:szCs w:val="22"/>
          <w:lang w:val="es-ES" w:bidi="es-ES"/>
        </w:rPr>
      </w:pPr>
    </w:p>
    <w:p w14:paraId="38FBCAAB" w14:textId="77777777" w:rsidR="00E05705" w:rsidRPr="00C94864" w:rsidRDefault="00E05705" w:rsidP="00C94864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C94864">
        <w:rPr>
          <w:rFonts w:ascii="Arial" w:eastAsia="Arial" w:hAnsi="Arial" w:cs="Arial"/>
          <w:sz w:val="22"/>
          <w:szCs w:val="22"/>
          <w:lang w:val="es-ES" w:bidi="es-ES"/>
        </w:rPr>
        <w:t xml:space="preserve">Molina, G. y Coto, S. Guía metodológica para la estimación y análisis de la incertidumbre de emisiones y remociones de gases de efecto invernadero (GEI), Programa País de Carbono Neutralidad 2.0. DCC-MINAE, </w:t>
      </w:r>
      <w:r w:rsidRPr="00C94864">
        <w:rPr>
          <w:rFonts w:ascii="Arial" w:hAnsi="Arial" w:cs="Arial"/>
          <w:sz w:val="22"/>
          <w:szCs w:val="22"/>
        </w:rPr>
        <w:t xml:space="preserve">Partnership for Market Readiness-Banco Mundial y Laboratorio Costarricense de Metrología. </w:t>
      </w:r>
      <w:r w:rsidRPr="00C94864">
        <w:rPr>
          <w:rFonts w:ascii="Arial" w:eastAsia="Arial" w:hAnsi="Arial" w:cs="Arial"/>
          <w:sz w:val="22"/>
          <w:szCs w:val="22"/>
          <w:lang w:val="es-ES" w:bidi="es-ES"/>
        </w:rPr>
        <w:t>Recuperado de</w:t>
      </w:r>
      <w:r w:rsidRPr="00C94864"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Pr="00C94864">
          <w:rPr>
            <w:rStyle w:val="Hipervnculo"/>
            <w:rFonts w:ascii="Arial" w:eastAsiaTheme="majorEastAsia" w:hAnsi="Arial" w:cs="Arial"/>
            <w:sz w:val="22"/>
            <w:szCs w:val="22"/>
          </w:rPr>
          <w:t>https://cambioclimatico.go.cr/wp-content/uploads/2019/11/PPCN-GuiaIncertidumbre.pdf</w:t>
        </w:r>
      </w:hyperlink>
      <w:r w:rsidRPr="00C94864">
        <w:rPr>
          <w:rFonts w:ascii="Arial" w:hAnsi="Arial" w:cs="Arial"/>
          <w:sz w:val="22"/>
          <w:szCs w:val="22"/>
        </w:rPr>
        <w:t xml:space="preserve"> </w:t>
      </w:r>
    </w:p>
    <w:p w14:paraId="097DC8A9" w14:textId="77777777" w:rsidR="00787F4D" w:rsidRPr="00C94864" w:rsidRDefault="00787F4D" w:rsidP="00C94864">
      <w:pPr>
        <w:widowControl w:val="0"/>
        <w:autoSpaceDE w:val="0"/>
        <w:autoSpaceDN w:val="0"/>
        <w:spacing w:before="100" w:beforeAutospacing="1" w:after="100" w:afterAutospacing="1"/>
        <w:ind w:left="709" w:hanging="709"/>
        <w:jc w:val="both"/>
        <w:rPr>
          <w:rFonts w:ascii="Arial" w:hAnsi="Arial" w:cs="Arial"/>
          <w:sz w:val="22"/>
          <w:szCs w:val="22"/>
        </w:rPr>
      </w:pPr>
    </w:p>
    <w:sectPr w:rsidR="00787F4D" w:rsidRPr="00C94864" w:rsidSect="00E77658">
      <w:headerReference w:type="default" r:id="rId18"/>
      <w:pgSz w:w="12240" w:h="15840" w:code="1"/>
      <w:pgMar w:top="1843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31C8" w14:textId="77777777" w:rsidR="00861DC3" w:rsidRDefault="00861DC3" w:rsidP="00293DD2">
      <w:r>
        <w:separator/>
      </w:r>
    </w:p>
  </w:endnote>
  <w:endnote w:type="continuationSeparator" w:id="0">
    <w:p w14:paraId="6FB0CA63" w14:textId="77777777" w:rsidR="00861DC3" w:rsidRDefault="00861DC3" w:rsidP="0029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054468"/>
      <w:docPartObj>
        <w:docPartGallery w:val="Page Numbers (Bottom of Page)"/>
        <w:docPartUnique/>
      </w:docPartObj>
    </w:sdtPr>
    <w:sdtEndPr/>
    <w:sdtContent>
      <w:p w14:paraId="2D16F4DC" w14:textId="21911740" w:rsidR="00E054B5" w:rsidRDefault="00E054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DC3" w:rsidRPr="00861DC3">
          <w:rPr>
            <w:noProof/>
            <w:lang w:val="es-ES"/>
          </w:rPr>
          <w:t>1</w:t>
        </w:r>
        <w:r>
          <w:fldChar w:fldCharType="end"/>
        </w:r>
      </w:p>
    </w:sdtContent>
  </w:sdt>
  <w:p w14:paraId="64BC7935" w14:textId="77777777" w:rsidR="00E054B5" w:rsidRDefault="00E054B5" w:rsidP="006E1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151182"/>
      <w:docPartObj>
        <w:docPartGallery w:val="Page Numbers (Bottom of Page)"/>
        <w:docPartUnique/>
      </w:docPartObj>
    </w:sdtPr>
    <w:sdtEndPr/>
    <w:sdtContent>
      <w:p w14:paraId="2E32731A" w14:textId="714F7C34" w:rsidR="00E77658" w:rsidRDefault="00E77658">
        <w:pPr>
          <w:pStyle w:val="Piedepgina"/>
          <w:jc w:val="right"/>
        </w:pPr>
        <w:r>
          <w:rPr>
            <w:noProof/>
            <w:lang w:eastAsia="es-CR"/>
          </w:rPr>
          <w:drawing>
            <wp:anchor distT="0" distB="0" distL="114300" distR="114300" simplePos="0" relativeHeight="251678720" behindDoc="1" locked="0" layoutInCell="1" allowOverlap="1" wp14:anchorId="39D480B0" wp14:editId="24E20CA0">
              <wp:simplePos x="0" y="0"/>
              <wp:positionH relativeFrom="page">
                <wp:align>left</wp:align>
              </wp:positionH>
              <wp:positionV relativeFrom="paragraph">
                <wp:posOffset>-332740</wp:posOffset>
              </wp:positionV>
              <wp:extent cx="9265861" cy="1120097"/>
              <wp:effectExtent l="0" t="0" r="0" b="4445"/>
              <wp:wrapNone/>
              <wp:docPr id="15" name="Imag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65861" cy="11200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4F7D" w:rsidRPr="00004F7D">
          <w:rPr>
            <w:noProof/>
            <w:lang w:val="es-ES"/>
          </w:rPr>
          <w:t>10</w:t>
        </w:r>
        <w:r>
          <w:fldChar w:fldCharType="end"/>
        </w:r>
      </w:p>
    </w:sdtContent>
  </w:sdt>
  <w:p w14:paraId="60766A2F" w14:textId="38A36A62" w:rsidR="00E77658" w:rsidRDefault="00E77658" w:rsidP="00E77658">
    <w:pPr>
      <w:pStyle w:val="Piedepgina"/>
      <w:tabs>
        <w:tab w:val="clear" w:pos="4419"/>
        <w:tab w:val="clear" w:pos="8838"/>
        <w:tab w:val="left" w:pos="2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0A0B4" w14:textId="77777777" w:rsidR="00861DC3" w:rsidRDefault="00861DC3" w:rsidP="00293DD2">
      <w:r>
        <w:separator/>
      </w:r>
    </w:p>
  </w:footnote>
  <w:footnote w:type="continuationSeparator" w:id="0">
    <w:p w14:paraId="108972C0" w14:textId="77777777" w:rsidR="00861DC3" w:rsidRDefault="00861DC3" w:rsidP="0029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187F2" w14:textId="7FD0EF85" w:rsidR="00E054B5" w:rsidRPr="00D74D20" w:rsidRDefault="00381E26">
    <w:pPr>
      <w:pStyle w:val="Encabezado"/>
      <w:rPr>
        <w:i/>
        <w:sz w:val="28"/>
        <w:szCs w:val="28"/>
      </w:rPr>
    </w:pPr>
    <w:r>
      <w:rPr>
        <w:noProof/>
        <w:lang w:eastAsia="es-CR"/>
      </w:rPr>
      <w:drawing>
        <wp:anchor distT="0" distB="0" distL="114300" distR="114300" simplePos="0" relativeHeight="251672576" behindDoc="1" locked="0" layoutInCell="1" allowOverlap="1" wp14:anchorId="0D81BFB9" wp14:editId="7C555C9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031830"/>
          <wp:effectExtent l="0" t="0" r="0" b="0"/>
          <wp:wrapNone/>
          <wp:docPr id="1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00F4" w14:textId="40A0C75C" w:rsidR="00712967" w:rsidRPr="00D74D20" w:rsidRDefault="00381E26" w:rsidP="006A5C5F">
    <w:pPr>
      <w:pStyle w:val="Encabezado"/>
      <w:tabs>
        <w:tab w:val="clear" w:pos="4419"/>
        <w:tab w:val="clear" w:pos="8838"/>
        <w:tab w:val="right" w:pos="8979"/>
      </w:tabs>
      <w:rPr>
        <w:i/>
        <w:sz w:val="28"/>
        <w:szCs w:val="28"/>
      </w:rPr>
    </w:pPr>
    <w:r>
      <w:rPr>
        <w:noProof/>
        <w:lang w:eastAsia="es-CR"/>
      </w:rPr>
      <w:drawing>
        <wp:anchor distT="0" distB="0" distL="114300" distR="114300" simplePos="0" relativeHeight="251676672" behindDoc="1" locked="0" layoutInCell="1" allowOverlap="1" wp14:anchorId="71299B76" wp14:editId="7839971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848600" cy="1031875"/>
          <wp:effectExtent l="0" t="0" r="0" b="0"/>
          <wp:wrapNone/>
          <wp:docPr id="11" name="Imagen 1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C5F">
      <w:rPr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BDA"/>
    <w:multiLevelType w:val="multilevel"/>
    <w:tmpl w:val="D8C828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C335B3"/>
    <w:multiLevelType w:val="hybridMultilevel"/>
    <w:tmpl w:val="8514E9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608BC"/>
    <w:multiLevelType w:val="hybridMultilevel"/>
    <w:tmpl w:val="33103D0A"/>
    <w:lvl w:ilvl="0" w:tplc="8B56F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948"/>
    <w:multiLevelType w:val="hybridMultilevel"/>
    <w:tmpl w:val="06286E32"/>
    <w:lvl w:ilvl="0" w:tplc="FC0039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148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0C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40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0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02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47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62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08A4"/>
    <w:multiLevelType w:val="hybridMultilevel"/>
    <w:tmpl w:val="64FCB2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44049"/>
    <w:multiLevelType w:val="hybridMultilevel"/>
    <w:tmpl w:val="003E97D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01028C"/>
    <w:multiLevelType w:val="hybridMultilevel"/>
    <w:tmpl w:val="CC8CB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85ABA"/>
    <w:multiLevelType w:val="hybridMultilevel"/>
    <w:tmpl w:val="D54A31E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10317"/>
    <w:multiLevelType w:val="hybridMultilevel"/>
    <w:tmpl w:val="6E30C0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46121"/>
    <w:multiLevelType w:val="hybridMultilevel"/>
    <w:tmpl w:val="F03E1ECE"/>
    <w:lvl w:ilvl="0" w:tplc="134CB88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546A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66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8C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9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E2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5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EF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43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E483E"/>
    <w:multiLevelType w:val="hybridMultilevel"/>
    <w:tmpl w:val="69CEA4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6050E"/>
    <w:multiLevelType w:val="multilevel"/>
    <w:tmpl w:val="4C2205E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2341353"/>
    <w:multiLevelType w:val="hybridMultilevel"/>
    <w:tmpl w:val="5FB4F7F0"/>
    <w:lvl w:ilvl="0" w:tplc="73283B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F5F91"/>
    <w:multiLevelType w:val="hybridMultilevel"/>
    <w:tmpl w:val="ED3CCD2E"/>
    <w:lvl w:ilvl="0" w:tplc="0C0A000F">
      <w:start w:val="3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52B61"/>
    <w:multiLevelType w:val="hybridMultilevel"/>
    <w:tmpl w:val="3198E0D6"/>
    <w:lvl w:ilvl="0" w:tplc="14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182162D1"/>
    <w:multiLevelType w:val="hybridMultilevel"/>
    <w:tmpl w:val="734CBC70"/>
    <w:lvl w:ilvl="0" w:tplc="A5EE46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00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E8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A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09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7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E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EF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A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97C50"/>
    <w:multiLevelType w:val="multilevel"/>
    <w:tmpl w:val="A872888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96D2EF5"/>
    <w:multiLevelType w:val="hybridMultilevel"/>
    <w:tmpl w:val="40661CD0"/>
    <w:lvl w:ilvl="0" w:tplc="1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DA16518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86F73C5"/>
    <w:multiLevelType w:val="hybridMultilevel"/>
    <w:tmpl w:val="3320BFE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E0BF1"/>
    <w:multiLevelType w:val="multilevel"/>
    <w:tmpl w:val="792E777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5F0409"/>
    <w:multiLevelType w:val="hybridMultilevel"/>
    <w:tmpl w:val="8F56791C"/>
    <w:lvl w:ilvl="0" w:tplc="B394D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004FE"/>
    <w:multiLevelType w:val="hybridMultilevel"/>
    <w:tmpl w:val="51BE6630"/>
    <w:lvl w:ilvl="0" w:tplc="44642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5D84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B07364"/>
    <w:multiLevelType w:val="hybridMultilevel"/>
    <w:tmpl w:val="E69A6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03597"/>
    <w:multiLevelType w:val="hybridMultilevel"/>
    <w:tmpl w:val="38A0C7A8"/>
    <w:lvl w:ilvl="0" w:tplc="A46EB4C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DF397C"/>
    <w:multiLevelType w:val="hybridMultilevel"/>
    <w:tmpl w:val="366E9BA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3740"/>
    <w:multiLevelType w:val="hybridMultilevel"/>
    <w:tmpl w:val="C1A09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C3144"/>
    <w:multiLevelType w:val="hybridMultilevel"/>
    <w:tmpl w:val="BA10A050"/>
    <w:lvl w:ilvl="0" w:tplc="44642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30963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3912A4"/>
    <w:multiLevelType w:val="hybridMultilevel"/>
    <w:tmpl w:val="BDAE2BB0"/>
    <w:lvl w:ilvl="0" w:tplc="2D940978">
      <w:start w:val="3"/>
      <w:numFmt w:val="decimal"/>
      <w:lvlText w:val="%1.3"/>
      <w:lvlJc w:val="left"/>
      <w:pPr>
        <w:ind w:left="1428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7966762"/>
    <w:multiLevelType w:val="hybridMultilevel"/>
    <w:tmpl w:val="C59A4AEA"/>
    <w:lvl w:ilvl="0" w:tplc="B394D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4B0CAA6">
      <w:start w:val="1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78C6"/>
    <w:multiLevelType w:val="hybridMultilevel"/>
    <w:tmpl w:val="508C72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45687"/>
    <w:multiLevelType w:val="hybridMultilevel"/>
    <w:tmpl w:val="8E3AF0CE"/>
    <w:lvl w:ilvl="0" w:tplc="2D940978">
      <w:start w:val="3"/>
      <w:numFmt w:val="decimal"/>
      <w:lvlText w:val="%1.3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92573"/>
    <w:multiLevelType w:val="hybridMultilevel"/>
    <w:tmpl w:val="B9F803B4"/>
    <w:lvl w:ilvl="0" w:tplc="8A7A00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1A7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82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A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84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6F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4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F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C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36C69"/>
    <w:multiLevelType w:val="hybridMultilevel"/>
    <w:tmpl w:val="9F005928"/>
    <w:lvl w:ilvl="0" w:tplc="BC6880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403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C0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C3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28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D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AE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AB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2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113AC"/>
    <w:multiLevelType w:val="hybridMultilevel"/>
    <w:tmpl w:val="4768ECB0"/>
    <w:lvl w:ilvl="0" w:tplc="14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7" w15:restartNumberingAfterBreak="0">
    <w:nsid w:val="69D13724"/>
    <w:multiLevelType w:val="hybridMultilevel"/>
    <w:tmpl w:val="28D494D2"/>
    <w:lvl w:ilvl="0" w:tplc="1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080" w:hanging="180"/>
      </w:pPr>
    </w:lvl>
    <w:lvl w:ilvl="3" w:tplc="140A000F" w:tentative="1">
      <w:start w:val="1"/>
      <w:numFmt w:val="decimal"/>
      <w:lvlText w:val="%4."/>
      <w:lvlJc w:val="left"/>
      <w:pPr>
        <w:ind w:left="1800" w:hanging="360"/>
      </w:pPr>
    </w:lvl>
    <w:lvl w:ilvl="4" w:tplc="140A0019" w:tentative="1">
      <w:start w:val="1"/>
      <w:numFmt w:val="lowerLetter"/>
      <w:lvlText w:val="%5."/>
      <w:lvlJc w:val="left"/>
      <w:pPr>
        <w:ind w:left="2520" w:hanging="360"/>
      </w:pPr>
    </w:lvl>
    <w:lvl w:ilvl="5" w:tplc="140A001B" w:tentative="1">
      <w:start w:val="1"/>
      <w:numFmt w:val="lowerRoman"/>
      <w:lvlText w:val="%6."/>
      <w:lvlJc w:val="right"/>
      <w:pPr>
        <w:ind w:left="3240" w:hanging="180"/>
      </w:pPr>
    </w:lvl>
    <w:lvl w:ilvl="6" w:tplc="140A000F" w:tentative="1">
      <w:start w:val="1"/>
      <w:numFmt w:val="decimal"/>
      <w:lvlText w:val="%7."/>
      <w:lvlJc w:val="left"/>
      <w:pPr>
        <w:ind w:left="3960" w:hanging="360"/>
      </w:pPr>
    </w:lvl>
    <w:lvl w:ilvl="7" w:tplc="140A0019" w:tentative="1">
      <w:start w:val="1"/>
      <w:numFmt w:val="lowerLetter"/>
      <w:lvlText w:val="%8."/>
      <w:lvlJc w:val="left"/>
      <w:pPr>
        <w:ind w:left="4680" w:hanging="360"/>
      </w:pPr>
    </w:lvl>
    <w:lvl w:ilvl="8" w:tplc="1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7175546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1B2797E"/>
    <w:multiLevelType w:val="hybridMultilevel"/>
    <w:tmpl w:val="E13672FE"/>
    <w:lvl w:ilvl="0" w:tplc="FEACCB4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B6CE6"/>
    <w:multiLevelType w:val="multilevel"/>
    <w:tmpl w:val="7250E8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67532DF"/>
    <w:multiLevelType w:val="hybridMultilevel"/>
    <w:tmpl w:val="A20E8D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3840"/>
    <w:multiLevelType w:val="hybridMultilevel"/>
    <w:tmpl w:val="50064A98"/>
    <w:lvl w:ilvl="0" w:tplc="BFD007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AF732"/>
    <w:multiLevelType w:val="hybridMultilevel"/>
    <w:tmpl w:val="345294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9E7578C"/>
    <w:multiLevelType w:val="hybridMultilevel"/>
    <w:tmpl w:val="B524A8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56CEE"/>
    <w:multiLevelType w:val="hybridMultilevel"/>
    <w:tmpl w:val="6BF8A006"/>
    <w:lvl w:ilvl="0" w:tplc="9FF4C75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BB3063"/>
    <w:multiLevelType w:val="hybridMultilevel"/>
    <w:tmpl w:val="FBDCC7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22169"/>
    <w:multiLevelType w:val="hybridMultilevel"/>
    <w:tmpl w:val="E30007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"/>
  </w:num>
  <w:num w:numId="4">
    <w:abstractNumId w:val="15"/>
  </w:num>
  <w:num w:numId="5">
    <w:abstractNumId w:val="9"/>
  </w:num>
  <w:num w:numId="6">
    <w:abstractNumId w:val="30"/>
  </w:num>
  <w:num w:numId="7">
    <w:abstractNumId w:val="33"/>
  </w:num>
  <w:num w:numId="8">
    <w:abstractNumId w:val="29"/>
  </w:num>
  <w:num w:numId="9">
    <w:abstractNumId w:val="23"/>
  </w:num>
  <w:num w:numId="10">
    <w:abstractNumId w:val="40"/>
  </w:num>
  <w:num w:numId="11">
    <w:abstractNumId w:val="0"/>
  </w:num>
  <w:num w:numId="12">
    <w:abstractNumId w:val="20"/>
  </w:num>
  <w:num w:numId="13">
    <w:abstractNumId w:val="38"/>
  </w:num>
  <w:num w:numId="14">
    <w:abstractNumId w:val="11"/>
  </w:num>
  <w:num w:numId="15">
    <w:abstractNumId w:val="18"/>
  </w:num>
  <w:num w:numId="16">
    <w:abstractNumId w:val="16"/>
  </w:num>
  <w:num w:numId="17">
    <w:abstractNumId w:val="28"/>
  </w:num>
  <w:num w:numId="18">
    <w:abstractNumId w:val="39"/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2"/>
  </w:num>
  <w:num w:numId="22">
    <w:abstractNumId w:val="12"/>
  </w:num>
  <w:num w:numId="23">
    <w:abstractNumId w:val="47"/>
  </w:num>
  <w:num w:numId="24">
    <w:abstractNumId w:val="24"/>
  </w:num>
  <w:num w:numId="25">
    <w:abstractNumId w:val="4"/>
  </w:num>
  <w:num w:numId="26">
    <w:abstractNumId w:val="26"/>
  </w:num>
  <w:num w:numId="27">
    <w:abstractNumId w:val="32"/>
  </w:num>
  <w:num w:numId="28">
    <w:abstractNumId w:val="41"/>
  </w:num>
  <w:num w:numId="29">
    <w:abstractNumId w:val="7"/>
  </w:num>
  <w:num w:numId="30">
    <w:abstractNumId w:val="14"/>
  </w:num>
  <w:num w:numId="31">
    <w:abstractNumId w:val="19"/>
  </w:num>
  <w:num w:numId="32">
    <w:abstractNumId w:val="8"/>
  </w:num>
  <w:num w:numId="33">
    <w:abstractNumId w:val="2"/>
  </w:num>
  <w:num w:numId="34">
    <w:abstractNumId w:val="10"/>
  </w:num>
  <w:num w:numId="35">
    <w:abstractNumId w:val="44"/>
  </w:num>
  <w:num w:numId="36">
    <w:abstractNumId w:val="1"/>
  </w:num>
  <w:num w:numId="37">
    <w:abstractNumId w:val="37"/>
  </w:num>
  <w:num w:numId="38">
    <w:abstractNumId w:val="46"/>
  </w:num>
  <w:num w:numId="39">
    <w:abstractNumId w:val="6"/>
  </w:num>
  <w:num w:numId="40">
    <w:abstractNumId w:val="21"/>
  </w:num>
  <w:num w:numId="41">
    <w:abstractNumId w:val="31"/>
  </w:num>
  <w:num w:numId="42">
    <w:abstractNumId w:val="13"/>
  </w:num>
  <w:num w:numId="43">
    <w:abstractNumId w:val="22"/>
  </w:num>
  <w:num w:numId="44">
    <w:abstractNumId w:val="36"/>
  </w:num>
  <w:num w:numId="45">
    <w:abstractNumId w:val="27"/>
  </w:num>
  <w:num w:numId="46">
    <w:abstractNumId w:val="5"/>
  </w:num>
  <w:num w:numId="47">
    <w:abstractNumId w:val="25"/>
  </w:num>
  <w:num w:numId="48">
    <w:abstractNumId w:val="4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es-ES_tradnl" w:vendorID="64" w:dllVersion="0" w:nlCheck="1" w:checkStyle="0"/>
  <w:activeWritingStyle w:appName="MSWord" w:lang="es-GT" w:vendorID="64" w:dllVersion="0" w:nlCheck="1" w:checkStyle="0"/>
  <w:activeWritingStyle w:appName="MSWord" w:lang="es-ES" w:vendorID="64" w:dllVersion="0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04F7D"/>
    <w:rsid w:val="00021695"/>
    <w:rsid w:val="000303FC"/>
    <w:rsid w:val="00033975"/>
    <w:rsid w:val="00035254"/>
    <w:rsid w:val="0003742D"/>
    <w:rsid w:val="000457C5"/>
    <w:rsid w:val="00062E09"/>
    <w:rsid w:val="000A6464"/>
    <w:rsid w:val="000B695E"/>
    <w:rsid w:val="000C37F8"/>
    <w:rsid w:val="000C5A86"/>
    <w:rsid w:val="000D1668"/>
    <w:rsid w:val="000E420F"/>
    <w:rsid w:val="000F1787"/>
    <w:rsid w:val="000F58E1"/>
    <w:rsid w:val="00121D81"/>
    <w:rsid w:val="00122044"/>
    <w:rsid w:val="0012474D"/>
    <w:rsid w:val="00134D0D"/>
    <w:rsid w:val="0013797A"/>
    <w:rsid w:val="001431BD"/>
    <w:rsid w:val="00144CD3"/>
    <w:rsid w:val="00150B0D"/>
    <w:rsid w:val="00161229"/>
    <w:rsid w:val="001626AF"/>
    <w:rsid w:val="00163EE1"/>
    <w:rsid w:val="00166995"/>
    <w:rsid w:val="001843DE"/>
    <w:rsid w:val="001B0C5F"/>
    <w:rsid w:val="001C146F"/>
    <w:rsid w:val="001C45DD"/>
    <w:rsid w:val="001C7527"/>
    <w:rsid w:val="001D60D7"/>
    <w:rsid w:val="001D7F6E"/>
    <w:rsid w:val="001E442A"/>
    <w:rsid w:val="001E6BC8"/>
    <w:rsid w:val="001E71B7"/>
    <w:rsid w:val="001F29EF"/>
    <w:rsid w:val="00205227"/>
    <w:rsid w:val="0021616F"/>
    <w:rsid w:val="00224A0E"/>
    <w:rsid w:val="00226C07"/>
    <w:rsid w:val="002307CA"/>
    <w:rsid w:val="00241961"/>
    <w:rsid w:val="0026679E"/>
    <w:rsid w:val="00293DD2"/>
    <w:rsid w:val="002A5002"/>
    <w:rsid w:val="002D1104"/>
    <w:rsid w:val="002D17CD"/>
    <w:rsid w:val="002E1BD7"/>
    <w:rsid w:val="002F423E"/>
    <w:rsid w:val="002F6C2D"/>
    <w:rsid w:val="00302E02"/>
    <w:rsid w:val="00311024"/>
    <w:rsid w:val="003368D4"/>
    <w:rsid w:val="0035738E"/>
    <w:rsid w:val="003657DC"/>
    <w:rsid w:val="00381E26"/>
    <w:rsid w:val="0038459F"/>
    <w:rsid w:val="0039422F"/>
    <w:rsid w:val="003B14C0"/>
    <w:rsid w:val="003B1A89"/>
    <w:rsid w:val="003B2646"/>
    <w:rsid w:val="003C21C7"/>
    <w:rsid w:val="003D2723"/>
    <w:rsid w:val="0042219C"/>
    <w:rsid w:val="00442006"/>
    <w:rsid w:val="004468FB"/>
    <w:rsid w:val="00452F48"/>
    <w:rsid w:val="00460629"/>
    <w:rsid w:val="00471DBB"/>
    <w:rsid w:val="0048202E"/>
    <w:rsid w:val="004834BE"/>
    <w:rsid w:val="00487212"/>
    <w:rsid w:val="004A4293"/>
    <w:rsid w:val="004B240D"/>
    <w:rsid w:val="004B33D1"/>
    <w:rsid w:val="004B67E0"/>
    <w:rsid w:val="004B7B63"/>
    <w:rsid w:val="004C3718"/>
    <w:rsid w:val="004C50EA"/>
    <w:rsid w:val="004D725C"/>
    <w:rsid w:val="004E2135"/>
    <w:rsid w:val="004E5D38"/>
    <w:rsid w:val="004E7508"/>
    <w:rsid w:val="004F3B65"/>
    <w:rsid w:val="005024DA"/>
    <w:rsid w:val="00503BE6"/>
    <w:rsid w:val="00506322"/>
    <w:rsid w:val="005077D1"/>
    <w:rsid w:val="00510EA3"/>
    <w:rsid w:val="005118B8"/>
    <w:rsid w:val="005217D4"/>
    <w:rsid w:val="005230C2"/>
    <w:rsid w:val="00546036"/>
    <w:rsid w:val="00546883"/>
    <w:rsid w:val="00555CB6"/>
    <w:rsid w:val="00557A14"/>
    <w:rsid w:val="0056317D"/>
    <w:rsid w:val="00566A86"/>
    <w:rsid w:val="00583E27"/>
    <w:rsid w:val="00592ED2"/>
    <w:rsid w:val="005D7477"/>
    <w:rsid w:val="005E2AA7"/>
    <w:rsid w:val="00602086"/>
    <w:rsid w:val="00613E88"/>
    <w:rsid w:val="006272CD"/>
    <w:rsid w:val="00642447"/>
    <w:rsid w:val="006424B3"/>
    <w:rsid w:val="00644285"/>
    <w:rsid w:val="00660B23"/>
    <w:rsid w:val="00671C38"/>
    <w:rsid w:val="00673528"/>
    <w:rsid w:val="00674B57"/>
    <w:rsid w:val="00695E7A"/>
    <w:rsid w:val="006A1D25"/>
    <w:rsid w:val="006A5C5F"/>
    <w:rsid w:val="006C2481"/>
    <w:rsid w:val="006D0FEB"/>
    <w:rsid w:val="006D4367"/>
    <w:rsid w:val="006E194B"/>
    <w:rsid w:val="006E6003"/>
    <w:rsid w:val="0071210C"/>
    <w:rsid w:val="00712967"/>
    <w:rsid w:val="007144DE"/>
    <w:rsid w:val="0071525C"/>
    <w:rsid w:val="00721C4A"/>
    <w:rsid w:val="00733A14"/>
    <w:rsid w:val="00740E31"/>
    <w:rsid w:val="00772615"/>
    <w:rsid w:val="007757BD"/>
    <w:rsid w:val="0078237E"/>
    <w:rsid w:val="00782BAD"/>
    <w:rsid w:val="00787F4D"/>
    <w:rsid w:val="00790395"/>
    <w:rsid w:val="0079411F"/>
    <w:rsid w:val="007A2525"/>
    <w:rsid w:val="007A79F8"/>
    <w:rsid w:val="007C0A74"/>
    <w:rsid w:val="007C75FD"/>
    <w:rsid w:val="007C7A94"/>
    <w:rsid w:val="007D1D7B"/>
    <w:rsid w:val="007D7304"/>
    <w:rsid w:val="007D7A4E"/>
    <w:rsid w:val="007E03C5"/>
    <w:rsid w:val="008102F0"/>
    <w:rsid w:val="00837C59"/>
    <w:rsid w:val="00841E2A"/>
    <w:rsid w:val="00861DC3"/>
    <w:rsid w:val="00865A60"/>
    <w:rsid w:val="008676AD"/>
    <w:rsid w:val="008777C1"/>
    <w:rsid w:val="008846CA"/>
    <w:rsid w:val="00886778"/>
    <w:rsid w:val="009006FA"/>
    <w:rsid w:val="00903247"/>
    <w:rsid w:val="00905314"/>
    <w:rsid w:val="00912C7F"/>
    <w:rsid w:val="00973B8A"/>
    <w:rsid w:val="00981238"/>
    <w:rsid w:val="00982969"/>
    <w:rsid w:val="009852BD"/>
    <w:rsid w:val="00985B89"/>
    <w:rsid w:val="009951C3"/>
    <w:rsid w:val="009D39A5"/>
    <w:rsid w:val="009D76C2"/>
    <w:rsid w:val="009E0012"/>
    <w:rsid w:val="00A025F9"/>
    <w:rsid w:val="00A21A60"/>
    <w:rsid w:val="00A232B7"/>
    <w:rsid w:val="00A2337B"/>
    <w:rsid w:val="00A30CAF"/>
    <w:rsid w:val="00A345CE"/>
    <w:rsid w:val="00A3541B"/>
    <w:rsid w:val="00A40331"/>
    <w:rsid w:val="00A4531B"/>
    <w:rsid w:val="00A61964"/>
    <w:rsid w:val="00A70E88"/>
    <w:rsid w:val="00A731ED"/>
    <w:rsid w:val="00A8695C"/>
    <w:rsid w:val="00AB376E"/>
    <w:rsid w:val="00AC59F5"/>
    <w:rsid w:val="00AD0FB6"/>
    <w:rsid w:val="00AD35D8"/>
    <w:rsid w:val="00AE0275"/>
    <w:rsid w:val="00AE3363"/>
    <w:rsid w:val="00AE42C7"/>
    <w:rsid w:val="00B05923"/>
    <w:rsid w:val="00B41289"/>
    <w:rsid w:val="00B750A6"/>
    <w:rsid w:val="00B768BB"/>
    <w:rsid w:val="00B838BD"/>
    <w:rsid w:val="00B84175"/>
    <w:rsid w:val="00B84BE3"/>
    <w:rsid w:val="00B92800"/>
    <w:rsid w:val="00B95446"/>
    <w:rsid w:val="00BB0CA7"/>
    <w:rsid w:val="00BC1442"/>
    <w:rsid w:val="00BD11F9"/>
    <w:rsid w:val="00BE09A9"/>
    <w:rsid w:val="00BE2130"/>
    <w:rsid w:val="00C00A95"/>
    <w:rsid w:val="00C17904"/>
    <w:rsid w:val="00C260C3"/>
    <w:rsid w:val="00C272CD"/>
    <w:rsid w:val="00C545C6"/>
    <w:rsid w:val="00C648A0"/>
    <w:rsid w:val="00C814D3"/>
    <w:rsid w:val="00C86253"/>
    <w:rsid w:val="00C94864"/>
    <w:rsid w:val="00C96EEF"/>
    <w:rsid w:val="00CA34F8"/>
    <w:rsid w:val="00CB33F6"/>
    <w:rsid w:val="00CC4341"/>
    <w:rsid w:val="00CC5C72"/>
    <w:rsid w:val="00CD0602"/>
    <w:rsid w:val="00CE4D1C"/>
    <w:rsid w:val="00CF6B2A"/>
    <w:rsid w:val="00CF7BED"/>
    <w:rsid w:val="00D02A24"/>
    <w:rsid w:val="00D05AEC"/>
    <w:rsid w:val="00D131B2"/>
    <w:rsid w:val="00D30F7F"/>
    <w:rsid w:val="00D32C3C"/>
    <w:rsid w:val="00D33C85"/>
    <w:rsid w:val="00D41CDE"/>
    <w:rsid w:val="00D42EB6"/>
    <w:rsid w:val="00D65D8D"/>
    <w:rsid w:val="00D74D20"/>
    <w:rsid w:val="00D75F1A"/>
    <w:rsid w:val="00D85B78"/>
    <w:rsid w:val="00D954F6"/>
    <w:rsid w:val="00DD32FA"/>
    <w:rsid w:val="00DF52E5"/>
    <w:rsid w:val="00E01F5E"/>
    <w:rsid w:val="00E02A0D"/>
    <w:rsid w:val="00E054B5"/>
    <w:rsid w:val="00E05705"/>
    <w:rsid w:val="00E22886"/>
    <w:rsid w:val="00E34175"/>
    <w:rsid w:val="00E34763"/>
    <w:rsid w:val="00E5050D"/>
    <w:rsid w:val="00E56541"/>
    <w:rsid w:val="00E57560"/>
    <w:rsid w:val="00E64131"/>
    <w:rsid w:val="00E70F41"/>
    <w:rsid w:val="00E77658"/>
    <w:rsid w:val="00EA3263"/>
    <w:rsid w:val="00EB5F3D"/>
    <w:rsid w:val="00EC5307"/>
    <w:rsid w:val="00EC7503"/>
    <w:rsid w:val="00ED6CC5"/>
    <w:rsid w:val="00EE4EFD"/>
    <w:rsid w:val="00EE77D8"/>
    <w:rsid w:val="00F019E7"/>
    <w:rsid w:val="00F21137"/>
    <w:rsid w:val="00F3061A"/>
    <w:rsid w:val="00F35571"/>
    <w:rsid w:val="00F67A11"/>
    <w:rsid w:val="00F835E7"/>
    <w:rsid w:val="00F86E70"/>
    <w:rsid w:val="00F91EC4"/>
    <w:rsid w:val="00F94B53"/>
    <w:rsid w:val="00F961B4"/>
    <w:rsid w:val="00FA31B6"/>
    <w:rsid w:val="00FA4F3F"/>
    <w:rsid w:val="00FD262C"/>
    <w:rsid w:val="00FD6722"/>
    <w:rsid w:val="00FE256E"/>
    <w:rsid w:val="00FF09D6"/>
    <w:rsid w:val="00FF4E79"/>
    <w:rsid w:val="1C4F0E47"/>
    <w:rsid w:val="1F033785"/>
    <w:rsid w:val="21318B7A"/>
    <w:rsid w:val="29702A5E"/>
    <w:rsid w:val="2CFC04A8"/>
    <w:rsid w:val="4DE9BE75"/>
    <w:rsid w:val="58F46B09"/>
    <w:rsid w:val="5D30DA7E"/>
    <w:rsid w:val="64CE9D05"/>
    <w:rsid w:val="6B2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66A7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355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hAnsi="Arial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hAnsi="Arial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ind w:left="4248" w:hanging="4248"/>
    </w:pPr>
    <w:rPr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line="360" w:lineRule="auto"/>
      <w:jc w:val="both"/>
    </w:pPr>
    <w:rPr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jc w:val="both"/>
    </w:pPr>
    <w:rPr>
      <w:rFonts w:ascii="Calibri" w:eastAsia="Calibri" w:hAnsi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jc w:val="both"/>
    </w:pPr>
    <w:rPr>
      <w:rFonts w:ascii="Calibri" w:hAnsi="Calibri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table" w:styleId="Tabladecuadrcula4-nfasis4">
    <w:name w:val="Grid Table 4 Accent 4"/>
    <w:basedOn w:val="Tablanormal"/>
    <w:uiPriority w:val="49"/>
    <w:rsid w:val="007D7A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3">
    <w:name w:val="Grid Table 4 Accent 3"/>
    <w:basedOn w:val="Tablanormal"/>
    <w:uiPriority w:val="49"/>
    <w:rsid w:val="007D7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E57560"/>
  </w:style>
  <w:style w:type="paragraph" w:styleId="NormalWeb">
    <w:name w:val="Normal (Web)"/>
    <w:basedOn w:val="Normal"/>
    <w:uiPriority w:val="99"/>
    <w:unhideWhenUsed/>
    <w:rsid w:val="00161229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F355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character" w:customStyle="1" w:styleId="filler">
    <w:name w:val="filler"/>
    <w:basedOn w:val="Fuentedeprrafopredeter"/>
    <w:rsid w:val="00F35571"/>
  </w:style>
  <w:style w:type="paragraph" w:customStyle="1" w:styleId="Default">
    <w:name w:val="Default"/>
    <w:rsid w:val="00FA3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_U7GV7zKbl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mbioclimatico.go.cr/wp-content/uploads/2019/07/Guia-Carbono-Neutralidad-DCC-Parte-1.pdf" TargetMode="External"/><Relationship Id="rId17" Type="http://schemas.openxmlformats.org/officeDocument/2006/relationships/hyperlink" Target="https://cambioclimatico.go.cr/wp-content/uploads/2019/11/PPCN-GuiaIncertidumbr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mbioclimatico.go.cr/wp-content/uploads/2021/07/PPCN-Productos.pdf?x282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ambioclimatico.go.cr/wp-content/uploads/2021/06/PPCN-2.0-Organizacional-2021-vf.pdf?x28229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OqDSRH0H7NE&amp;t=27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D08C-6DAC-462D-9B1A-ACDB59E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2084</Words>
  <Characters>11465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Dinia Solano Rodriguez</cp:lastModifiedBy>
  <cp:revision>4</cp:revision>
  <cp:lastPrinted>2015-07-20T15:41:00Z</cp:lastPrinted>
  <dcterms:created xsi:type="dcterms:W3CDTF">2022-03-24T17:38:00Z</dcterms:created>
  <dcterms:modified xsi:type="dcterms:W3CDTF">2022-03-24T17:40:00Z</dcterms:modified>
</cp:coreProperties>
</file>